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36"/>
        </w:rPr>
      </w:pPr>
      <w:r>
        <w:rPr>
          <w:rFonts w:hint="eastAsia"/>
          <w:b/>
          <w:sz w:val="36"/>
        </w:rPr>
        <w:t>《核电厂重要部件水射流处理技术规范》编制说明</w:t>
      </w:r>
    </w:p>
    <w:p>
      <w:pPr>
        <w:jc w:val="center"/>
        <w:rPr>
          <w:b/>
          <w:sz w:val="36"/>
        </w:rPr>
      </w:pPr>
      <w:r>
        <w:rPr>
          <w:rFonts w:hint="eastAsia"/>
          <w:b/>
          <w:sz w:val="36"/>
        </w:rPr>
        <w:t>（征求意见稿）</w:t>
      </w:r>
    </w:p>
    <w:p>
      <w:pPr>
        <w:outlineLvl w:val="0"/>
        <w:rPr>
          <w:b/>
          <w:sz w:val="28"/>
          <w:szCs w:val="28"/>
        </w:rPr>
      </w:pPr>
      <w:r>
        <w:rPr>
          <w:rFonts w:hint="eastAsia"/>
          <w:b/>
          <w:sz w:val="28"/>
          <w:szCs w:val="28"/>
        </w:rPr>
        <w:t>一、工作简况</w:t>
      </w:r>
    </w:p>
    <w:p>
      <w:pPr>
        <w:rPr>
          <w:b/>
        </w:rPr>
      </w:pPr>
      <w:r>
        <w:rPr>
          <w:rFonts w:hint="eastAsia"/>
          <w:b/>
        </w:rPr>
        <w:t>1、任务来源</w:t>
      </w:r>
    </w:p>
    <w:p>
      <w:pPr>
        <w:ind w:firstLine="480" w:firstLineChars="200"/>
      </w:pPr>
      <w:r>
        <w:rPr>
          <w:rFonts w:hint="eastAsia"/>
        </w:rPr>
        <w:t>本标准的主要起草单位为：苏州热工研究院有限公司、上海核</w:t>
      </w:r>
      <w:r>
        <w:rPr>
          <w:rFonts w:hint="eastAsia"/>
          <w:lang w:val="en-US" w:eastAsia="zh-CN"/>
        </w:rPr>
        <w:t>工程</w:t>
      </w:r>
      <w:r>
        <w:rPr>
          <w:rFonts w:hint="eastAsia"/>
        </w:rPr>
        <w:t>研究设计院有限公司、</w:t>
      </w:r>
      <w:r>
        <w:rPr>
          <w:rFonts w:hint="eastAsia"/>
          <w:lang w:val="en-US" w:eastAsia="zh-CN"/>
        </w:rPr>
        <w:t>广西防城港核电有限公司、中核核电运行管理有限公司、大亚湾核电运营管理有限责任公司、广州市蓝环涂装有限公司、洛阳圣瑞智能机器人有限公司</w:t>
      </w:r>
      <w:r>
        <w:rPr>
          <w:rFonts w:hint="eastAsia"/>
        </w:rPr>
        <w:t>。</w:t>
      </w:r>
    </w:p>
    <w:p>
      <w:pPr>
        <w:ind w:firstLine="480" w:firstLineChars="200"/>
      </w:pPr>
      <w:r>
        <w:rPr>
          <w:rFonts w:hint="eastAsia"/>
        </w:rPr>
        <w:t>本标准编制的起始时间为：2022年1月1日至2022年12月31日。</w:t>
      </w:r>
    </w:p>
    <w:p>
      <w:pPr>
        <w:ind w:firstLine="480" w:firstLineChars="200"/>
      </w:pPr>
      <w:r>
        <w:rPr>
          <w:rFonts w:hint="eastAsia"/>
        </w:rPr>
        <w:t>本标准牵头单位正在与中国核能行业协会签订“中国核能行业协会团体标准制修订专项技术服务合同”。预计2022年</w:t>
      </w:r>
      <w:r>
        <w:rPr>
          <w:rFonts w:hint="eastAsia"/>
          <w:lang w:val="en-US" w:eastAsia="zh-CN"/>
        </w:rPr>
        <w:t>11</w:t>
      </w:r>
      <w:r>
        <w:rPr>
          <w:rFonts w:hint="eastAsia"/>
        </w:rPr>
        <w:t>月签订合同。</w:t>
      </w:r>
    </w:p>
    <w:p/>
    <w:p>
      <w:pPr>
        <w:rPr>
          <w:b/>
        </w:rPr>
      </w:pPr>
      <w:r>
        <w:rPr>
          <w:rFonts w:hint="eastAsia"/>
          <w:b/>
        </w:rPr>
        <w:t>2、主要工作过程</w:t>
      </w:r>
    </w:p>
    <w:p>
      <w:r>
        <w:rPr>
          <w:rFonts w:hint="eastAsia"/>
        </w:rPr>
        <w:t>起草阶段：2022年1月至</w:t>
      </w:r>
      <w:r>
        <w:t>10</w:t>
      </w:r>
      <w:r>
        <w:rPr>
          <w:rFonts w:hint="eastAsia"/>
        </w:rPr>
        <w:t>月</w:t>
      </w:r>
    </w:p>
    <w:p>
      <w:r>
        <w:rPr>
          <w:rFonts w:hint="eastAsia"/>
        </w:rPr>
        <w:t>征求意见阶段：待定</w:t>
      </w:r>
    </w:p>
    <w:p/>
    <w:p>
      <w:pPr>
        <w:rPr>
          <w:b/>
        </w:rPr>
      </w:pPr>
      <w:r>
        <w:rPr>
          <w:rFonts w:hint="eastAsia"/>
          <w:b/>
        </w:rPr>
        <w:t>3、</w:t>
      </w:r>
      <w:r>
        <w:rPr>
          <w:b/>
        </w:rPr>
        <w:t>主要参加单位和工作组成员及其所作的工作等</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4"/>
        <w:gridCol w:w="2136"/>
        <w:gridCol w:w="3379"/>
        <w:gridCol w:w="2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trPr>
        <w:tc>
          <w:tcPr>
            <w:tcW w:w="754" w:type="dxa"/>
          </w:tcPr>
          <w:p>
            <w:pPr>
              <w:widowControl w:val="0"/>
              <w:spacing w:line="240" w:lineRule="auto"/>
              <w:jc w:val="center"/>
              <w:rPr>
                <w:b/>
                <w:bCs/>
              </w:rPr>
            </w:pPr>
            <w:r>
              <w:rPr>
                <w:rFonts w:hint="eastAsia"/>
                <w:b/>
                <w:bCs/>
              </w:rPr>
              <w:t>序号</w:t>
            </w:r>
          </w:p>
        </w:tc>
        <w:tc>
          <w:tcPr>
            <w:tcW w:w="2136" w:type="dxa"/>
          </w:tcPr>
          <w:p>
            <w:pPr>
              <w:widowControl w:val="0"/>
              <w:spacing w:line="240" w:lineRule="auto"/>
              <w:jc w:val="center"/>
              <w:rPr>
                <w:b/>
                <w:bCs/>
              </w:rPr>
            </w:pPr>
            <w:r>
              <w:rPr>
                <w:rFonts w:hint="eastAsia"/>
                <w:b/>
                <w:bCs/>
              </w:rPr>
              <w:t>主要参加单位</w:t>
            </w:r>
          </w:p>
        </w:tc>
        <w:tc>
          <w:tcPr>
            <w:tcW w:w="3379" w:type="dxa"/>
          </w:tcPr>
          <w:p>
            <w:pPr>
              <w:widowControl w:val="0"/>
              <w:spacing w:line="240" w:lineRule="auto"/>
              <w:jc w:val="center"/>
              <w:rPr>
                <w:b/>
                <w:bCs/>
              </w:rPr>
            </w:pPr>
            <w:r>
              <w:rPr>
                <w:rFonts w:hint="eastAsia"/>
                <w:b/>
                <w:bCs/>
              </w:rPr>
              <w:t>工作组成员</w:t>
            </w:r>
          </w:p>
        </w:tc>
        <w:tc>
          <w:tcPr>
            <w:tcW w:w="2251" w:type="dxa"/>
          </w:tcPr>
          <w:p>
            <w:pPr>
              <w:widowControl w:val="0"/>
              <w:spacing w:line="240" w:lineRule="auto"/>
              <w:jc w:val="center"/>
              <w:rPr>
                <w:b/>
                <w:bCs/>
              </w:rPr>
            </w:pPr>
            <w:r>
              <w:rPr>
                <w:rFonts w:hint="eastAsia"/>
                <w:b/>
                <w:bCs/>
              </w:rPr>
              <w:t>具体工作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754" w:type="dxa"/>
          </w:tcPr>
          <w:p>
            <w:pPr>
              <w:widowControl w:val="0"/>
              <w:spacing w:line="240" w:lineRule="auto"/>
              <w:jc w:val="center"/>
            </w:pPr>
            <w:r>
              <w:rPr>
                <w:rFonts w:hint="eastAsia"/>
              </w:rPr>
              <w:t>1</w:t>
            </w:r>
          </w:p>
        </w:tc>
        <w:tc>
          <w:tcPr>
            <w:tcW w:w="2136" w:type="dxa"/>
          </w:tcPr>
          <w:p>
            <w:pPr>
              <w:widowControl w:val="0"/>
              <w:spacing w:line="240" w:lineRule="auto"/>
              <w:jc w:val="both"/>
            </w:pPr>
            <w:r>
              <w:rPr>
                <w:rFonts w:hint="eastAsia"/>
              </w:rPr>
              <w:t>苏州热工研究院有限公司</w:t>
            </w:r>
          </w:p>
        </w:tc>
        <w:tc>
          <w:tcPr>
            <w:tcW w:w="3379" w:type="dxa"/>
          </w:tcPr>
          <w:p>
            <w:pPr>
              <w:widowControl w:val="0"/>
              <w:spacing w:line="240" w:lineRule="auto"/>
              <w:jc w:val="both"/>
              <w:rPr>
                <w:rFonts w:hint="default" w:eastAsia="宋体"/>
                <w:lang w:val="en-US" w:eastAsia="zh-CN"/>
              </w:rPr>
            </w:pPr>
            <w:r>
              <w:rPr>
                <w:rFonts w:hint="eastAsia"/>
                <w:lang w:val="en-US" w:eastAsia="zh-CN"/>
              </w:rPr>
              <w:t>彭群家、韩姚磊、孙永亮、刘晓军</w:t>
            </w:r>
          </w:p>
        </w:tc>
        <w:tc>
          <w:tcPr>
            <w:tcW w:w="2251" w:type="dxa"/>
          </w:tcPr>
          <w:p>
            <w:pPr>
              <w:widowControl w:val="0"/>
              <w:spacing w:line="240" w:lineRule="auto"/>
              <w:jc w:val="both"/>
            </w:pPr>
            <w:r>
              <w:rPr>
                <w:rFonts w:hint="eastAsia"/>
              </w:rPr>
              <w:t>标准起草、示范案例开发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trPr>
        <w:tc>
          <w:tcPr>
            <w:tcW w:w="754" w:type="dxa"/>
          </w:tcPr>
          <w:p>
            <w:pPr>
              <w:widowControl w:val="0"/>
              <w:spacing w:line="240" w:lineRule="auto"/>
              <w:jc w:val="center"/>
            </w:pPr>
            <w:r>
              <w:rPr>
                <w:rFonts w:hint="eastAsia"/>
              </w:rPr>
              <w:t>2</w:t>
            </w:r>
          </w:p>
        </w:tc>
        <w:tc>
          <w:tcPr>
            <w:tcW w:w="2136" w:type="dxa"/>
          </w:tcPr>
          <w:p>
            <w:pPr>
              <w:widowControl w:val="0"/>
              <w:spacing w:line="240" w:lineRule="auto"/>
              <w:jc w:val="both"/>
            </w:pPr>
            <w:r>
              <w:rPr>
                <w:rFonts w:hint="eastAsia"/>
              </w:rPr>
              <w:t>上海核</w:t>
            </w:r>
            <w:r>
              <w:rPr>
                <w:rFonts w:hint="eastAsia"/>
                <w:lang w:val="en-US" w:eastAsia="zh-CN"/>
              </w:rPr>
              <w:t>工程</w:t>
            </w:r>
            <w:r>
              <w:rPr>
                <w:rFonts w:hint="eastAsia"/>
              </w:rPr>
              <w:t>研究设计院有限公司</w:t>
            </w:r>
          </w:p>
        </w:tc>
        <w:tc>
          <w:tcPr>
            <w:tcW w:w="3379" w:type="dxa"/>
          </w:tcPr>
          <w:p>
            <w:pPr>
              <w:widowControl w:val="0"/>
              <w:spacing w:line="240" w:lineRule="auto"/>
              <w:jc w:val="both"/>
              <w:rPr>
                <w:rFonts w:hint="default" w:eastAsia="宋体"/>
                <w:lang w:val="en-US" w:eastAsia="zh-CN"/>
              </w:rPr>
            </w:pPr>
            <w:r>
              <w:rPr>
                <w:rFonts w:hint="eastAsia"/>
                <w:lang w:val="en-US" w:eastAsia="zh-CN"/>
              </w:rPr>
              <w:t>孟凡江、李玲、左波、丁宗华</w:t>
            </w:r>
          </w:p>
        </w:tc>
        <w:tc>
          <w:tcPr>
            <w:tcW w:w="2251" w:type="dxa"/>
          </w:tcPr>
          <w:p>
            <w:pPr>
              <w:widowControl w:val="0"/>
              <w:spacing w:line="240" w:lineRule="auto"/>
              <w:jc w:val="both"/>
            </w:pPr>
            <w:r>
              <w:rPr>
                <w:rFonts w:hint="eastAsia"/>
              </w:rPr>
              <w:t>标准起草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754" w:type="dxa"/>
          </w:tcPr>
          <w:p>
            <w:pPr>
              <w:widowControl w:val="0"/>
              <w:spacing w:line="240" w:lineRule="auto"/>
              <w:jc w:val="center"/>
            </w:pPr>
            <w:r>
              <w:rPr>
                <w:rFonts w:hint="eastAsia"/>
              </w:rPr>
              <w:t>3</w:t>
            </w:r>
          </w:p>
        </w:tc>
        <w:tc>
          <w:tcPr>
            <w:tcW w:w="2136" w:type="dxa"/>
          </w:tcPr>
          <w:p>
            <w:pPr>
              <w:widowControl w:val="0"/>
              <w:spacing w:line="240" w:lineRule="auto"/>
              <w:jc w:val="both"/>
            </w:pPr>
            <w:r>
              <w:rPr>
                <w:rFonts w:hint="eastAsia"/>
                <w:lang w:val="en-US" w:eastAsia="zh-CN"/>
              </w:rPr>
              <w:t>广西防城港核电有限公司</w:t>
            </w:r>
          </w:p>
        </w:tc>
        <w:tc>
          <w:tcPr>
            <w:tcW w:w="3379" w:type="dxa"/>
          </w:tcPr>
          <w:p>
            <w:pPr>
              <w:widowControl w:val="0"/>
              <w:spacing w:line="240" w:lineRule="auto"/>
              <w:jc w:val="both"/>
              <w:rPr>
                <w:rFonts w:hint="eastAsia" w:eastAsia="宋体"/>
                <w:lang w:val="en-US" w:eastAsia="zh-CN"/>
              </w:rPr>
            </w:pPr>
            <w:r>
              <w:rPr>
                <w:rFonts w:hint="eastAsia"/>
                <w:lang w:val="en-US" w:eastAsia="zh-CN"/>
              </w:rPr>
              <w:t>王琪</w:t>
            </w:r>
          </w:p>
        </w:tc>
        <w:tc>
          <w:tcPr>
            <w:tcW w:w="2251" w:type="dxa"/>
          </w:tcPr>
          <w:p>
            <w:pPr>
              <w:widowControl w:val="0"/>
              <w:spacing w:line="240" w:lineRule="auto"/>
              <w:jc w:val="both"/>
            </w:pPr>
            <w:r>
              <w:rPr>
                <w:rFonts w:hint="eastAsia"/>
              </w:rPr>
              <w:t>标准起草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754" w:type="dxa"/>
          </w:tcPr>
          <w:p>
            <w:pPr>
              <w:widowControl w:val="0"/>
              <w:spacing w:line="240" w:lineRule="auto"/>
              <w:jc w:val="center"/>
            </w:pPr>
            <w:r>
              <w:rPr>
                <w:rFonts w:hint="eastAsia"/>
              </w:rPr>
              <w:t>4</w:t>
            </w:r>
          </w:p>
        </w:tc>
        <w:tc>
          <w:tcPr>
            <w:tcW w:w="2136" w:type="dxa"/>
          </w:tcPr>
          <w:p>
            <w:pPr>
              <w:widowControl w:val="0"/>
              <w:spacing w:line="240" w:lineRule="auto"/>
              <w:jc w:val="both"/>
            </w:pPr>
            <w:r>
              <w:rPr>
                <w:rFonts w:hint="eastAsia"/>
                <w:lang w:val="en-US" w:eastAsia="zh-CN"/>
              </w:rPr>
              <w:t>中核核电运行管理有限公司</w:t>
            </w:r>
          </w:p>
        </w:tc>
        <w:tc>
          <w:tcPr>
            <w:tcW w:w="3379" w:type="dxa"/>
          </w:tcPr>
          <w:p>
            <w:pPr>
              <w:widowControl w:val="0"/>
              <w:spacing w:line="240" w:lineRule="auto"/>
              <w:jc w:val="both"/>
              <w:rPr>
                <w:rFonts w:hint="eastAsia" w:eastAsia="宋体"/>
                <w:lang w:val="en-US" w:eastAsia="zh-CN"/>
              </w:rPr>
            </w:pPr>
            <w:r>
              <w:rPr>
                <w:rFonts w:hint="eastAsia"/>
                <w:lang w:val="en-US" w:eastAsia="zh-CN"/>
              </w:rPr>
              <w:t>栾兴峰</w:t>
            </w:r>
          </w:p>
        </w:tc>
        <w:tc>
          <w:tcPr>
            <w:tcW w:w="2251" w:type="dxa"/>
          </w:tcPr>
          <w:p>
            <w:pPr>
              <w:widowControl w:val="0"/>
              <w:spacing w:line="240" w:lineRule="auto"/>
              <w:jc w:val="both"/>
            </w:pPr>
            <w:r>
              <w:rPr>
                <w:rFonts w:hint="eastAsia"/>
              </w:rPr>
              <w:t>标准起草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754" w:type="dxa"/>
          </w:tcPr>
          <w:p>
            <w:pPr>
              <w:widowControl w:val="0"/>
              <w:spacing w:line="240" w:lineRule="auto"/>
              <w:jc w:val="center"/>
            </w:pPr>
            <w:r>
              <w:rPr>
                <w:rFonts w:hint="eastAsia"/>
              </w:rPr>
              <w:t>5</w:t>
            </w:r>
          </w:p>
        </w:tc>
        <w:tc>
          <w:tcPr>
            <w:tcW w:w="2136" w:type="dxa"/>
          </w:tcPr>
          <w:p>
            <w:pPr>
              <w:widowControl w:val="0"/>
              <w:spacing w:line="240" w:lineRule="auto"/>
              <w:jc w:val="both"/>
            </w:pPr>
            <w:r>
              <w:rPr>
                <w:rFonts w:hint="eastAsia"/>
                <w:lang w:val="en-US" w:eastAsia="zh-CN"/>
              </w:rPr>
              <w:t>大亚湾核电运营管理有限责任公司</w:t>
            </w:r>
          </w:p>
        </w:tc>
        <w:tc>
          <w:tcPr>
            <w:tcW w:w="3379" w:type="dxa"/>
          </w:tcPr>
          <w:p>
            <w:pPr>
              <w:widowControl w:val="0"/>
              <w:spacing w:line="240" w:lineRule="auto"/>
              <w:jc w:val="both"/>
              <w:rPr>
                <w:rFonts w:hint="eastAsia" w:eastAsia="宋体"/>
                <w:lang w:val="en-US" w:eastAsia="zh-CN"/>
              </w:rPr>
            </w:pPr>
            <w:r>
              <w:rPr>
                <w:rFonts w:hint="eastAsia"/>
                <w:lang w:val="en-US" w:eastAsia="zh-CN"/>
              </w:rPr>
              <w:t>白荣国</w:t>
            </w:r>
          </w:p>
        </w:tc>
        <w:tc>
          <w:tcPr>
            <w:tcW w:w="2251" w:type="dxa"/>
          </w:tcPr>
          <w:p>
            <w:pPr>
              <w:widowControl w:val="0"/>
              <w:spacing w:line="240" w:lineRule="auto"/>
              <w:jc w:val="both"/>
            </w:pPr>
            <w:r>
              <w:rPr>
                <w:rFonts w:hint="eastAsia"/>
              </w:rPr>
              <w:t>标准起草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754" w:type="dxa"/>
          </w:tcPr>
          <w:p>
            <w:pPr>
              <w:widowControl w:val="0"/>
              <w:spacing w:line="240" w:lineRule="auto"/>
              <w:jc w:val="center"/>
            </w:pPr>
            <w:r>
              <w:rPr>
                <w:rFonts w:hint="eastAsia"/>
              </w:rPr>
              <w:t>6</w:t>
            </w:r>
          </w:p>
        </w:tc>
        <w:tc>
          <w:tcPr>
            <w:tcW w:w="2136" w:type="dxa"/>
          </w:tcPr>
          <w:p>
            <w:pPr>
              <w:widowControl w:val="0"/>
              <w:spacing w:line="240" w:lineRule="auto"/>
              <w:jc w:val="both"/>
            </w:pPr>
            <w:r>
              <w:rPr>
                <w:rFonts w:hint="eastAsia"/>
                <w:lang w:val="en-US" w:eastAsia="zh-CN"/>
              </w:rPr>
              <w:t>广州市蓝环涂装有限公司</w:t>
            </w:r>
          </w:p>
        </w:tc>
        <w:tc>
          <w:tcPr>
            <w:tcW w:w="3379" w:type="dxa"/>
          </w:tcPr>
          <w:p>
            <w:pPr>
              <w:widowControl w:val="0"/>
              <w:spacing w:line="240" w:lineRule="auto"/>
              <w:jc w:val="both"/>
              <w:rPr>
                <w:rFonts w:hint="eastAsia" w:eastAsia="宋体"/>
                <w:lang w:val="en-US" w:eastAsia="zh-CN"/>
              </w:rPr>
            </w:pPr>
            <w:r>
              <w:rPr>
                <w:rFonts w:hint="eastAsia"/>
                <w:lang w:val="en-US" w:eastAsia="zh-CN"/>
              </w:rPr>
              <w:t>朱建伟</w:t>
            </w:r>
          </w:p>
        </w:tc>
        <w:tc>
          <w:tcPr>
            <w:tcW w:w="2251" w:type="dxa"/>
          </w:tcPr>
          <w:p>
            <w:pPr>
              <w:widowControl w:val="0"/>
              <w:spacing w:line="240" w:lineRule="auto"/>
              <w:jc w:val="both"/>
            </w:pPr>
            <w:r>
              <w:rPr>
                <w:rFonts w:hint="eastAsia"/>
              </w:rPr>
              <w:t>示范案例开发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rPr>
        <w:tc>
          <w:tcPr>
            <w:tcW w:w="754" w:type="dxa"/>
          </w:tcPr>
          <w:p>
            <w:pPr>
              <w:widowControl w:val="0"/>
              <w:spacing w:line="240" w:lineRule="auto"/>
              <w:jc w:val="center"/>
            </w:pPr>
            <w:r>
              <w:rPr>
                <w:rFonts w:hint="eastAsia"/>
              </w:rPr>
              <w:t>7</w:t>
            </w:r>
          </w:p>
        </w:tc>
        <w:tc>
          <w:tcPr>
            <w:tcW w:w="2136" w:type="dxa"/>
          </w:tcPr>
          <w:p>
            <w:pPr>
              <w:widowControl w:val="0"/>
              <w:spacing w:line="240" w:lineRule="auto"/>
              <w:jc w:val="both"/>
            </w:pPr>
            <w:r>
              <w:rPr>
                <w:rFonts w:hint="eastAsia"/>
                <w:lang w:val="en-US" w:eastAsia="zh-CN"/>
              </w:rPr>
              <w:t>洛阳圣瑞智能机器人有限公司</w:t>
            </w:r>
          </w:p>
        </w:tc>
        <w:tc>
          <w:tcPr>
            <w:tcW w:w="3379" w:type="dxa"/>
          </w:tcPr>
          <w:p>
            <w:pPr>
              <w:widowControl w:val="0"/>
              <w:spacing w:line="240" w:lineRule="auto"/>
              <w:jc w:val="both"/>
              <w:rPr>
                <w:rFonts w:hint="eastAsia" w:eastAsia="宋体"/>
                <w:lang w:val="en-US" w:eastAsia="zh-CN"/>
              </w:rPr>
            </w:pPr>
            <w:r>
              <w:rPr>
                <w:rFonts w:hint="eastAsia"/>
                <w:lang w:val="en-US" w:eastAsia="zh-CN"/>
              </w:rPr>
              <w:t>张定军</w:t>
            </w:r>
          </w:p>
        </w:tc>
        <w:tc>
          <w:tcPr>
            <w:tcW w:w="2251" w:type="dxa"/>
          </w:tcPr>
          <w:p>
            <w:pPr>
              <w:widowControl w:val="0"/>
              <w:spacing w:line="240" w:lineRule="auto"/>
              <w:jc w:val="both"/>
            </w:pPr>
            <w:r>
              <w:rPr>
                <w:rFonts w:hint="eastAsia"/>
              </w:rPr>
              <w:t>示范案例开发</w:t>
            </w:r>
          </w:p>
        </w:tc>
      </w:tr>
    </w:tbl>
    <w:p/>
    <w:p/>
    <w:p>
      <w:pPr>
        <w:outlineLvl w:val="0"/>
        <w:rPr>
          <w:b/>
          <w:sz w:val="28"/>
          <w:szCs w:val="28"/>
        </w:rPr>
      </w:pPr>
      <w:r>
        <w:rPr>
          <w:rFonts w:hint="eastAsia"/>
          <w:b/>
          <w:sz w:val="28"/>
          <w:szCs w:val="28"/>
        </w:rPr>
        <w:t>二、标准编制原则和主要内容</w:t>
      </w:r>
    </w:p>
    <w:p>
      <w:pPr>
        <w:rPr>
          <w:b/>
        </w:rPr>
      </w:pPr>
      <w:r>
        <w:rPr>
          <w:rFonts w:hint="eastAsia"/>
          <w:b/>
        </w:rPr>
        <w:t>1、标准编制原则</w:t>
      </w:r>
    </w:p>
    <w:p>
      <w:pPr>
        <w:ind w:firstLine="480" w:firstLineChars="200"/>
        <w:rPr>
          <w:iCs/>
        </w:rPr>
      </w:pPr>
      <w:r>
        <w:rPr>
          <w:rFonts w:hint="eastAsia"/>
          <w:iCs/>
        </w:rPr>
        <w:t>本标准开发符合实际需求，以科学性、实用性为原则进行本标准的制定工作。</w:t>
      </w:r>
    </w:p>
    <w:p>
      <w:pPr>
        <w:widowControl w:val="0"/>
        <w:jc w:val="both"/>
      </w:pPr>
      <w:r>
        <w:rPr>
          <w:rFonts w:hint="eastAsia"/>
        </w:rPr>
        <w:t>（1）科学性</w:t>
      </w:r>
    </w:p>
    <w:p>
      <w:pPr>
        <w:widowControl w:val="0"/>
        <w:ind w:firstLine="480" w:firstLineChars="200"/>
        <w:jc w:val="both"/>
      </w:pPr>
      <w:r>
        <w:rPr>
          <w:rFonts w:hint="eastAsia"/>
        </w:rPr>
        <w:t>本标准建立了</w:t>
      </w:r>
      <w:r>
        <w:rPr>
          <w:rFonts w:hint="eastAsia" w:ascii="Times New Roman"/>
        </w:rPr>
        <w:t>核电厂重要部件水射流处理技术规范</w:t>
      </w:r>
      <w:r>
        <w:rPr>
          <w:rFonts w:hint="eastAsia"/>
        </w:rPr>
        <w:t>，并进行了</w:t>
      </w:r>
      <w:r>
        <w:rPr>
          <w:rFonts w:hint="eastAsia"/>
          <w:lang w:val="en-US" w:eastAsia="zh-CN"/>
        </w:rPr>
        <w:t>实验</w:t>
      </w:r>
      <w:r>
        <w:rPr>
          <w:rFonts w:hint="eastAsia"/>
        </w:rPr>
        <w:t>验证。</w:t>
      </w:r>
    </w:p>
    <w:p>
      <w:pPr>
        <w:widowControl w:val="0"/>
        <w:jc w:val="both"/>
      </w:pPr>
      <w:r>
        <w:rPr>
          <w:rFonts w:hint="eastAsia"/>
        </w:rPr>
        <w:t>（2）实用性</w:t>
      </w:r>
    </w:p>
    <w:p>
      <w:pPr>
        <w:ind w:firstLine="480" w:firstLineChars="200"/>
        <w:rPr>
          <w:rFonts w:hint="default"/>
          <w:lang w:val="en-US"/>
        </w:rPr>
      </w:pPr>
      <w:r>
        <w:rPr>
          <w:rFonts w:hint="eastAsia"/>
        </w:rPr>
        <w:t>本标准规定了</w:t>
      </w:r>
      <w:r>
        <w:rPr>
          <w:rFonts w:hint="eastAsia" w:ascii="Times New Roman"/>
        </w:rPr>
        <w:t>核电厂重要部件水射流处理</w:t>
      </w:r>
      <w:r>
        <w:rPr>
          <w:rFonts w:hint="eastAsia"/>
        </w:rPr>
        <w:t>过程，包括去污清洗处理</w:t>
      </w:r>
      <w:r>
        <w:rPr>
          <w:rFonts w:hint="eastAsia"/>
          <w:lang w:eastAsia="zh-CN"/>
        </w:rPr>
        <w:t>、除锈处理、空化水射流冲击表面强化处理，</w:t>
      </w:r>
      <w:r>
        <w:rPr>
          <w:rFonts w:hint="eastAsia"/>
          <w:lang w:val="en-US" w:eastAsia="zh-CN"/>
        </w:rPr>
        <w:t>并推荐了具体工艺参数，可指导水射流技术在核电厂的应用，实用性强。</w:t>
      </w:r>
    </w:p>
    <w:p>
      <w:pPr>
        <w:rPr>
          <w:b/>
        </w:rPr>
      </w:pPr>
      <w:r>
        <w:rPr>
          <w:rFonts w:hint="eastAsia"/>
          <w:b/>
        </w:rPr>
        <w:t>2、标准主要内容的依据</w:t>
      </w:r>
    </w:p>
    <w:p>
      <w:pPr>
        <w:ind w:firstLine="480" w:firstLineChars="200"/>
      </w:pPr>
      <w:r>
        <w:rPr>
          <w:rFonts w:hint="eastAsia"/>
        </w:rPr>
        <w:t>本标准聚焦于</w:t>
      </w:r>
      <w:r>
        <w:rPr>
          <w:rFonts w:hint="eastAsia" w:ascii="Times New Roman"/>
        </w:rPr>
        <w:t>核电厂重要部件水射流处理技术</w:t>
      </w:r>
      <w:r>
        <w:rPr>
          <w:rFonts w:hint="eastAsia" w:ascii="Times New Roman"/>
          <w:lang w:val="en-US" w:eastAsia="zh-CN"/>
        </w:rPr>
        <w:t>使用</w:t>
      </w:r>
      <w:r>
        <w:rPr>
          <w:rFonts w:hint="eastAsia"/>
        </w:rPr>
        <w:t>的基本环节，并根据主要环节确定标准主体内容。本标准主体章节技术和内容根据核电厂重要部件水射流处理的主要过程确定，包括适用范围、规范性引用文件、术语和定义、水射流处理的主要核电站部件、作业组织、水射流处理设备要求、水射流处理工艺参数要求、水射流处理关键步骤、水射流处理效果验收方法、附录。</w:t>
      </w:r>
    </w:p>
    <w:p/>
    <w:p>
      <w:pPr>
        <w:rPr>
          <w:b/>
        </w:rPr>
      </w:pPr>
      <w:r>
        <w:rPr>
          <w:rFonts w:hint="eastAsia"/>
          <w:b/>
        </w:rPr>
        <w:t>3、解决的主要问题</w:t>
      </w:r>
    </w:p>
    <w:p>
      <w:pPr>
        <w:autoSpaceDE w:val="0"/>
        <w:autoSpaceDN w:val="0"/>
        <w:adjustRightInd w:val="0"/>
        <w:spacing w:line="440" w:lineRule="atLeast"/>
        <w:ind w:firstLine="480"/>
        <w:rPr>
          <w:rFonts w:hint="default" w:ascii="Times New Roman" w:hAnsi="Times New Roman" w:cs="Times New Roman"/>
          <w:lang w:val="en-US" w:eastAsia="zh-CN" w:bidi="ar"/>
        </w:rPr>
      </w:pPr>
      <w:r>
        <w:rPr>
          <w:rFonts w:hint="eastAsia" w:ascii="Times New Roman" w:hAnsi="Times New Roman" w:cs="Times New Roman"/>
          <w:lang w:bidi="ar"/>
        </w:rPr>
        <w:t>核电厂重要设备</w:t>
      </w:r>
      <w:r>
        <w:rPr>
          <w:rFonts w:hint="eastAsia" w:ascii="Times New Roman" w:hAnsi="Times New Roman" w:cs="Times New Roman"/>
          <w:lang w:val="en-US" w:eastAsia="zh-CN" w:bidi="ar"/>
        </w:rPr>
        <w:t>在长期服役过程中面临</w:t>
      </w:r>
      <w:r>
        <w:rPr>
          <w:rFonts w:hint="eastAsia" w:ascii="Times New Roman" w:hAnsi="Times New Roman" w:cs="Times New Roman"/>
          <w:lang w:bidi="ar"/>
        </w:rPr>
        <w:t>腐蚀损伤问题</w:t>
      </w:r>
      <w:r>
        <w:rPr>
          <w:rFonts w:hint="eastAsia" w:ascii="Times New Roman" w:hAnsi="Times New Roman" w:cs="Times New Roman"/>
          <w:lang w:eastAsia="zh-CN" w:bidi="ar"/>
        </w:rPr>
        <w:t>。重要管道、容器</w:t>
      </w:r>
      <w:r>
        <w:rPr>
          <w:rFonts w:hint="eastAsia" w:ascii="Times New Roman" w:hAnsi="Times New Roman" w:cs="Times New Roman"/>
          <w:lang w:val="en-US" w:eastAsia="zh-CN" w:bidi="ar"/>
        </w:rPr>
        <w:t>等</w:t>
      </w:r>
      <w:r>
        <w:rPr>
          <w:rFonts w:hint="eastAsia" w:ascii="Times New Roman" w:hAnsi="Times New Roman" w:cs="Times New Roman"/>
          <w:lang w:eastAsia="zh-CN" w:bidi="ar"/>
        </w:rPr>
        <w:t>在服役过程中与腐蚀性介质（酸、碱、放射性废液）长期接触，由于涂层失效导致基体腐蚀减薄或穿孔，严重时需更换整个部件，周期长、成本高；由于涂层老化，每隔10-20年需定期翻新涂层。一回路重要部件压力容器、蒸汽发生器、回路管线等服役环境为高温高压水，焊缝位置存在残余应力，并承受结构应力，</w:t>
      </w:r>
      <w:r>
        <w:rPr>
          <w:rFonts w:hint="eastAsia" w:ascii="Times New Roman" w:hAnsi="Times New Roman" w:cs="Times New Roman"/>
          <w:lang w:val="en-US" w:eastAsia="zh-CN" w:bidi="ar"/>
        </w:rPr>
        <w:t>应力腐蚀</w:t>
      </w:r>
      <w:r>
        <w:rPr>
          <w:rFonts w:hint="eastAsia" w:ascii="Times New Roman" w:hAnsi="Times New Roman" w:cs="Times New Roman"/>
          <w:lang w:eastAsia="zh-CN" w:bidi="ar"/>
        </w:rPr>
        <w:t>不可避免，局部开裂导致泄露。</w:t>
      </w:r>
      <w:r>
        <w:rPr>
          <w:rFonts w:hint="eastAsia" w:ascii="Times New Roman" w:hAnsi="Times New Roman" w:cs="Times New Roman"/>
          <w:lang w:val="en-US" w:eastAsia="zh-CN" w:bidi="ar"/>
        </w:rPr>
        <w:t>因此，腐蚀损伤问题影响核电厂长期安全运行。</w:t>
      </w:r>
    </w:p>
    <w:p>
      <w:pPr>
        <w:autoSpaceDE w:val="0"/>
        <w:autoSpaceDN w:val="0"/>
        <w:adjustRightInd w:val="0"/>
        <w:spacing w:line="440" w:lineRule="atLeast"/>
        <w:ind w:firstLine="480"/>
        <w:rPr>
          <w:rFonts w:hint="default" w:ascii="Times New Roman" w:hAnsi="Times New Roman" w:cs="Times New Roman"/>
          <w:lang w:val="en-US" w:eastAsia="zh-CN" w:bidi="ar"/>
        </w:rPr>
      </w:pPr>
      <w:r>
        <w:rPr>
          <w:rFonts w:hint="eastAsia" w:ascii="Times New Roman" w:hAnsi="Times New Roman" w:cs="Times New Roman"/>
          <w:lang w:eastAsia="zh-CN" w:bidi="ar"/>
        </w:rPr>
        <w:t>核电厂重要设备</w:t>
      </w:r>
      <w:r>
        <w:rPr>
          <w:rFonts w:hint="eastAsia" w:ascii="Times New Roman" w:hAnsi="Times New Roman" w:cs="Times New Roman"/>
          <w:lang w:val="en-US" w:eastAsia="zh-CN" w:bidi="ar"/>
        </w:rPr>
        <w:t>需要针对</w:t>
      </w:r>
      <w:r>
        <w:rPr>
          <w:rFonts w:hint="eastAsia" w:ascii="Times New Roman" w:hAnsi="Times New Roman" w:cs="Times New Roman"/>
          <w:lang w:eastAsia="zh-CN" w:bidi="ar"/>
        </w:rPr>
        <w:t>腐蚀损伤</w:t>
      </w:r>
      <w:r>
        <w:rPr>
          <w:rFonts w:hint="eastAsia" w:ascii="Times New Roman" w:hAnsi="Times New Roman" w:cs="Times New Roman"/>
          <w:lang w:val="en-US" w:eastAsia="zh-CN" w:bidi="ar"/>
        </w:rPr>
        <w:t>问题开展</w:t>
      </w:r>
      <w:r>
        <w:rPr>
          <w:rFonts w:hint="eastAsia" w:ascii="Times New Roman" w:hAnsi="Times New Roman" w:cs="Times New Roman"/>
          <w:lang w:eastAsia="zh-CN" w:bidi="ar"/>
        </w:rPr>
        <w:t>治理。</w:t>
      </w:r>
      <w:r>
        <w:rPr>
          <w:rFonts w:hint="eastAsia" w:ascii="Times New Roman" w:hAnsi="Times New Roman" w:cs="Times New Roman"/>
          <w:lang w:val="en-US" w:eastAsia="zh-CN" w:bidi="ar"/>
        </w:rPr>
        <w:t>对于</w:t>
      </w:r>
      <w:r>
        <w:rPr>
          <w:rFonts w:hint="eastAsia" w:ascii="Times New Roman" w:hAnsi="Times New Roman" w:cs="Times New Roman"/>
          <w:lang w:eastAsia="zh-CN" w:bidi="ar"/>
        </w:rPr>
        <w:t>核电厂管道、容器等腐蚀</w:t>
      </w:r>
      <w:r>
        <w:rPr>
          <w:rFonts w:hint="eastAsia" w:ascii="Times New Roman" w:hAnsi="Times New Roman" w:cs="Times New Roman"/>
          <w:lang w:val="en-US" w:eastAsia="zh-CN" w:bidi="ar"/>
        </w:rPr>
        <w:t>问题，目前通常采用传统手工作业治理。施工过程中需要搭建脚手架，存在高风险作业、拆除成本较高的问题。采用人工打磨、喷砂清除老旧涂层，存在气衣损坏人员内污染风险，以及坠落、窒息、落水等安全风险。采用人工重新喷涂。存在成本高、风险高、传统施工工艺作业效率低下的问题。对于一回路焊缝部位应力腐蚀治理，日本三菱重工公司已经对至少20个反应堆进行了40多次空化水射流冲击表面强化治理技术的工程应用，阿海珐公司也成功应用于反应堆压力容器的强化处理，但国内尚无相关治理技术和方法。因此，需开发表面清理去污和强化的自动化处理技术，解决腐蚀损伤治理难题。</w:t>
      </w:r>
    </w:p>
    <w:p>
      <w:pPr>
        <w:autoSpaceDE w:val="0"/>
        <w:autoSpaceDN w:val="0"/>
        <w:adjustRightInd w:val="0"/>
        <w:spacing w:line="440" w:lineRule="atLeast"/>
        <w:ind w:firstLine="480"/>
        <w:rPr>
          <w:rFonts w:hint="eastAsia" w:ascii="Times New Roman" w:hAnsi="Times New Roman" w:cs="Times New Roman"/>
          <w:lang w:eastAsia="zh-CN" w:bidi="ar"/>
        </w:rPr>
      </w:pPr>
      <w:r>
        <w:rPr>
          <w:rFonts w:hint="eastAsia" w:ascii="Times New Roman" w:hAnsi="Times New Roman" w:cs="Times New Roman"/>
          <w:lang w:eastAsia="zh-CN" w:bidi="ar"/>
        </w:rPr>
        <w:t>高压水射流技术是通过高压水冲击表面实现除漆、除锈、去污</w:t>
      </w:r>
      <w:r>
        <w:rPr>
          <w:rFonts w:hint="eastAsia" w:ascii="Times New Roman" w:hAnsi="Times New Roman" w:cs="Times New Roman"/>
          <w:lang w:val="en-US" w:eastAsia="zh-CN" w:bidi="ar"/>
        </w:rPr>
        <w:t>等</w:t>
      </w:r>
      <w:r>
        <w:rPr>
          <w:rFonts w:hint="eastAsia" w:ascii="Times New Roman" w:hAnsi="Times New Roman" w:cs="Times New Roman"/>
          <w:lang w:eastAsia="zh-CN" w:bidi="ar"/>
        </w:rPr>
        <w:t>表面清理以及局部强化的一种先进技术，是核电厂腐蚀损伤治理的重要技术手段。通过研发搭载高压水射流的机器人技术，可高效去除管道容器内老化的防腐涂层等。针对结垢换热管、海生物附着管道等，采用高压水射流进行清洗，提高换热效率。针对一回路焊缝等局部薄弱部位，利用空化水射流冲击表面，产生压应力层，提高抗腐蚀开裂能力，延长服役寿命。高压水射流技术可以解决国内外核电厂重要管道、容器罐体寿期内定期维护、翻新与延寿遇到的技术瓶颈，提高设备可靠性。</w:t>
      </w:r>
      <w:r>
        <w:rPr>
          <w:rFonts w:hint="eastAsia" w:ascii="Times New Roman" w:hAnsi="Times New Roman" w:cs="Times New Roman"/>
          <w:lang w:val="en-US" w:eastAsia="zh-CN" w:bidi="ar"/>
        </w:rPr>
        <w:t>因此，</w:t>
      </w:r>
      <w:r>
        <w:rPr>
          <w:rFonts w:hint="eastAsia" w:cs="宋体"/>
          <w:kern w:val="0"/>
          <w:lang w:val="zh-CN"/>
        </w:rPr>
        <w:t>鉴于当前行业的现实需求，亟需</w:t>
      </w:r>
      <w:r>
        <w:rPr>
          <w:rFonts w:hint="eastAsia" w:ascii="Times New Roman" w:hAnsi="Times New Roman" w:cs="Times New Roman"/>
          <w:lang w:eastAsia="zh-CN" w:bidi="ar"/>
        </w:rPr>
        <w:t>编制核电厂重要部件水射流处理技术规范，更好的在核电厂推广高压水射流技术。</w:t>
      </w:r>
    </w:p>
    <w:p>
      <w:pPr>
        <w:autoSpaceDE w:val="0"/>
        <w:autoSpaceDN w:val="0"/>
        <w:adjustRightInd w:val="0"/>
        <w:spacing w:line="440" w:lineRule="atLeast"/>
        <w:ind w:firstLine="480"/>
      </w:pPr>
      <w:r>
        <w:rPr>
          <w:rFonts w:hint="eastAsia"/>
        </w:rPr>
        <w:t>本</w:t>
      </w:r>
      <w:r>
        <w:rPr>
          <w:rFonts w:hint="eastAsia" w:ascii="Times New Roman" w:hAnsi="Times New Roman" w:cs="Times New Roman"/>
          <w:lang w:eastAsia="zh-CN" w:bidi="ar"/>
        </w:rPr>
        <w:t>标准</w:t>
      </w:r>
      <w:r>
        <w:rPr>
          <w:rFonts w:hint="eastAsia"/>
        </w:rPr>
        <w:t>规定了核电站重要部件水射流处理技术的基本要求和基本步骤。</w:t>
      </w:r>
    </w:p>
    <w:p>
      <w:pPr>
        <w:ind w:firstLine="480" w:firstLineChars="200"/>
      </w:pPr>
      <w:r>
        <w:rPr>
          <w:rFonts w:hint="eastAsia"/>
        </w:rPr>
        <w:t>本标准</w:t>
      </w:r>
      <w:r>
        <w:rPr>
          <w:rFonts w:hint="eastAsia"/>
          <w:lang w:val="en-US" w:eastAsia="zh-CN"/>
        </w:rPr>
        <w:t>规定了</w:t>
      </w:r>
      <w:r>
        <w:rPr>
          <w:rFonts w:hint="eastAsia"/>
        </w:rPr>
        <w:t>水射流处理设备要求：</w:t>
      </w:r>
      <w:r>
        <w:rPr>
          <w:rFonts w:hint="eastAsia"/>
          <w:lang w:val="en-US" w:eastAsia="zh-CN"/>
        </w:rPr>
        <w:t>包括</w:t>
      </w:r>
      <w:r>
        <w:rPr>
          <w:rFonts w:hint="eastAsia"/>
        </w:rPr>
        <w:t>低压水路和高压水路</w:t>
      </w:r>
      <w:r>
        <w:rPr>
          <w:rFonts w:hint="eastAsia"/>
          <w:lang w:eastAsia="zh-CN"/>
        </w:rPr>
        <w:t>、</w:t>
      </w:r>
      <w:r>
        <w:rPr>
          <w:rFonts w:hint="eastAsia"/>
        </w:rPr>
        <w:t>高压泵压力参数</w:t>
      </w:r>
      <w:r>
        <w:rPr>
          <w:rFonts w:hint="eastAsia"/>
          <w:lang w:eastAsia="zh-CN"/>
        </w:rPr>
        <w:t>、</w:t>
      </w:r>
      <w:r>
        <w:rPr>
          <w:rFonts w:hint="eastAsia"/>
        </w:rPr>
        <w:t>安全措施</w:t>
      </w:r>
      <w:r>
        <w:rPr>
          <w:rFonts w:hint="eastAsia"/>
          <w:lang w:eastAsia="zh-CN"/>
        </w:rPr>
        <w:t>、</w:t>
      </w:r>
      <w:r>
        <w:rPr>
          <w:rFonts w:hint="eastAsia"/>
        </w:rPr>
        <w:t>喷嘴</w:t>
      </w:r>
      <w:r>
        <w:rPr>
          <w:rFonts w:hint="eastAsia"/>
          <w:lang w:eastAsia="zh-CN"/>
        </w:rPr>
        <w:t>、</w:t>
      </w:r>
      <w:r>
        <w:rPr>
          <w:rFonts w:hint="eastAsia"/>
        </w:rPr>
        <w:t>信号监测及控制等</w:t>
      </w:r>
      <w:r>
        <w:rPr>
          <w:rFonts w:hint="eastAsia" w:ascii="Times New Roman" w:hAnsi="Times New Roman" w:cs="Times New Roman"/>
        </w:rPr>
        <w:t>。</w:t>
      </w:r>
    </w:p>
    <w:p>
      <w:pPr>
        <w:ind w:firstLine="480" w:firstLineChars="200"/>
      </w:pPr>
      <w:r>
        <w:rPr>
          <w:rFonts w:hint="eastAsia"/>
        </w:rPr>
        <w:t>本标准</w:t>
      </w:r>
      <w:r>
        <w:rPr>
          <w:rFonts w:hint="eastAsia"/>
          <w:lang w:val="en-US" w:eastAsia="zh-CN"/>
        </w:rPr>
        <w:t>制定了</w:t>
      </w:r>
      <w:r>
        <w:rPr>
          <w:rFonts w:hint="eastAsia"/>
        </w:rPr>
        <w:t>水射流处理工艺参数要求：</w:t>
      </w:r>
      <w:r>
        <w:rPr>
          <w:rFonts w:hint="eastAsia"/>
          <w:lang w:val="en-US" w:eastAsia="zh-CN"/>
        </w:rPr>
        <w:t>包括</w:t>
      </w:r>
      <w:r>
        <w:rPr>
          <w:rFonts w:hint="eastAsia"/>
        </w:rPr>
        <w:t>喷嘴类型、靶距、处理压力、次数等</w:t>
      </w:r>
      <w:r>
        <w:rPr>
          <w:rFonts w:hint="eastAsia" w:ascii="Times New Roman" w:cs="Times New Roman"/>
        </w:rPr>
        <w:t>。</w:t>
      </w:r>
    </w:p>
    <w:p>
      <w:pPr>
        <w:ind w:firstLine="480" w:firstLineChars="200"/>
      </w:pPr>
      <w:r>
        <w:rPr>
          <w:rFonts w:hint="eastAsia"/>
        </w:rPr>
        <w:t>本标准制定了水射流处理关键步骤：</w:t>
      </w:r>
      <w:r>
        <w:rPr>
          <w:rFonts w:hint="eastAsia"/>
          <w:lang w:val="en-US" w:eastAsia="zh-CN"/>
        </w:rPr>
        <w:t>包括</w:t>
      </w:r>
      <w:r>
        <w:rPr>
          <w:rFonts w:hint="eastAsia"/>
        </w:rPr>
        <w:t>试验前调试、处理过程</w:t>
      </w:r>
      <w:r>
        <w:rPr>
          <w:rFonts w:hint="eastAsia"/>
          <w:lang w:val="en-US" w:eastAsia="zh-CN"/>
        </w:rPr>
        <w:t>等</w:t>
      </w:r>
      <w:r>
        <w:rPr>
          <w:rFonts w:hint="eastAsia"/>
        </w:rPr>
        <w:t>步骤</w:t>
      </w:r>
      <w:r>
        <w:rPr>
          <w:rStyle w:val="8"/>
          <w:rFonts w:hint="eastAsia" w:ascii="Times New Roman" w:hAnsi="Times New Roman" w:cs="Times New Roman"/>
          <w:sz w:val="24"/>
          <w:szCs w:val="24"/>
          <w:lang w:bidi="ar"/>
        </w:rPr>
        <w:t>。</w:t>
      </w:r>
    </w:p>
    <w:p>
      <w:pPr>
        <w:ind w:firstLine="480" w:firstLineChars="200"/>
      </w:pPr>
      <w:r>
        <w:rPr>
          <w:rFonts w:hint="eastAsia"/>
        </w:rPr>
        <w:t>本标准制定了水射流处理效果验收方法：</w:t>
      </w:r>
      <w:r>
        <w:rPr>
          <w:rFonts w:hint="eastAsia"/>
          <w:lang w:val="en-US" w:eastAsia="zh-CN"/>
        </w:rPr>
        <w:t>包括</w:t>
      </w:r>
      <w:r>
        <w:rPr>
          <w:rFonts w:hint="eastAsia"/>
        </w:rPr>
        <w:t>去污清洗和除锈验收方法、空化水射流冲击表面强化处理验收方法</w:t>
      </w:r>
      <w:r>
        <w:rPr>
          <w:rStyle w:val="8"/>
          <w:rFonts w:hint="eastAsia" w:ascii="Times New Roman" w:hAnsi="Times New Roman" w:cs="Times New Roman"/>
          <w:sz w:val="24"/>
          <w:szCs w:val="24"/>
          <w:lang w:bidi="ar"/>
        </w:rPr>
        <w:t>。</w:t>
      </w:r>
    </w:p>
    <w:p/>
    <w:p>
      <w:pPr>
        <w:outlineLvl w:val="0"/>
        <w:rPr>
          <w:b/>
          <w:sz w:val="28"/>
          <w:szCs w:val="28"/>
        </w:rPr>
      </w:pPr>
      <w:r>
        <w:rPr>
          <w:rFonts w:hint="eastAsia"/>
          <w:b/>
          <w:sz w:val="28"/>
          <w:szCs w:val="28"/>
        </w:rPr>
        <w:t>三、主要试验（或验证）情况</w:t>
      </w:r>
    </w:p>
    <w:p>
      <w:pPr>
        <w:ind w:firstLine="480" w:firstLineChars="200"/>
        <w:rPr>
          <w:rFonts w:ascii="Times New Roman" w:hAnsi="Times New Roman" w:cs="Times New Roman"/>
          <w:b/>
        </w:rPr>
      </w:pPr>
      <w:r>
        <w:rPr>
          <w:rFonts w:hint="eastAsia"/>
        </w:rPr>
        <w:t>本标准提供了</w:t>
      </w:r>
      <w:r>
        <w:rPr>
          <w:rFonts w:hint="eastAsia" w:ascii="Times New Roman"/>
        </w:rPr>
        <w:t>核电厂重要部件水射流处理技术规范</w:t>
      </w:r>
      <w:r>
        <w:rPr>
          <w:rFonts w:hint="eastAsia"/>
        </w:rPr>
        <w:t>，</w:t>
      </w:r>
      <w:r>
        <w:rPr>
          <w:rFonts w:hint="eastAsia"/>
          <w:lang w:val="en-US" w:eastAsia="zh-CN"/>
        </w:rPr>
        <w:t>主要试验情况如下</w:t>
      </w:r>
      <w:r>
        <w:rPr>
          <w:rFonts w:hint="eastAsia"/>
        </w:rPr>
        <w:t>：</w:t>
      </w:r>
    </w:p>
    <w:p>
      <w:pPr>
        <w:rPr>
          <w:b/>
          <w:bCs/>
        </w:rPr>
      </w:pPr>
      <w:r>
        <w:rPr>
          <w:b/>
          <w:bCs/>
        </w:rPr>
        <w:t>1</w:t>
      </w:r>
      <w:r>
        <w:rPr>
          <w:rFonts w:hint="eastAsia"/>
          <w:b/>
          <w:bCs/>
        </w:rPr>
        <w:t>）、高压水射流除漆</w:t>
      </w:r>
      <w:r>
        <w:rPr>
          <w:rFonts w:hint="eastAsia"/>
          <w:b/>
          <w:bCs/>
          <w:lang w:val="en-US" w:eastAsia="zh-CN"/>
        </w:rPr>
        <w:t>除</w:t>
      </w:r>
      <w:r>
        <w:rPr>
          <w:rFonts w:hint="eastAsia"/>
          <w:b/>
          <w:bCs/>
        </w:rPr>
        <w:t>锈试验</w:t>
      </w:r>
    </w:p>
    <w:p>
      <w:pPr>
        <w:ind w:firstLine="480" w:firstLineChars="200"/>
        <w:rPr>
          <w:rFonts w:hint="eastAsia"/>
        </w:rPr>
      </w:pPr>
      <w:r>
        <w:rPr>
          <w:rFonts w:hint="eastAsia"/>
          <w:lang w:val="en-US" w:eastAsia="zh-CN"/>
        </w:rPr>
        <w:t>以带弯道的公称直径为DN700mm的</w:t>
      </w:r>
      <w:r>
        <w:rPr>
          <w:rFonts w:hint="eastAsia"/>
        </w:rPr>
        <w:t>半封闭式管道</w:t>
      </w:r>
      <w:r>
        <w:rPr>
          <w:rFonts w:hint="eastAsia"/>
          <w:lang w:val="en-US" w:eastAsia="zh-CN"/>
        </w:rPr>
        <w:t>为试验对象，采用定制的旋转喷枪和回转保持架开展水射流试验。</w:t>
      </w:r>
      <w:r>
        <w:rPr>
          <w:rFonts w:hint="eastAsia"/>
        </w:rPr>
        <w:t>高压水泵和射流喷装置（含枪回转保持架）分别见图</w:t>
      </w:r>
      <w:r>
        <w:rPr>
          <w:rFonts w:hint="eastAsia"/>
          <w:lang w:val="en-US" w:eastAsia="zh-CN"/>
        </w:rPr>
        <w:t>3</w:t>
      </w:r>
      <w:r>
        <w:rPr>
          <w:rFonts w:hint="eastAsia"/>
        </w:rPr>
        <w:t>-1和图</w:t>
      </w:r>
      <w:r>
        <w:rPr>
          <w:rFonts w:hint="eastAsia"/>
          <w:lang w:val="en-US" w:eastAsia="zh-CN"/>
        </w:rPr>
        <w:t>3</w:t>
      </w:r>
      <w:r>
        <w:rPr>
          <w:rFonts w:hint="eastAsia"/>
        </w:rPr>
        <w:t>-2。喷嘴规格选择内径0.35mm，流量选择3.68L/min，靶距选择50mm，射流压力取180MPa和200MPa，喷射时间选择单圈连续打击30s、60s和90s。</w:t>
      </w:r>
      <w:r>
        <w:rPr>
          <w:rFonts w:hint="eastAsia"/>
          <w:lang w:val="en-US" w:eastAsia="zh-CN"/>
        </w:rPr>
        <w:t>本说明所介绍内容是在</w:t>
      </w:r>
      <w:r>
        <w:rPr>
          <w:rFonts w:hint="eastAsia"/>
        </w:rPr>
        <w:t>上述条件下开展</w:t>
      </w:r>
      <w:r>
        <w:rPr>
          <w:rFonts w:hint="eastAsia"/>
          <w:lang w:val="en-US" w:eastAsia="zh-CN"/>
        </w:rPr>
        <w:t>的</w:t>
      </w:r>
      <w:r>
        <w:rPr>
          <w:rFonts w:hint="eastAsia"/>
        </w:rPr>
        <w:t>高压水喷射除漆除锈工艺试验。试验现场见图</w:t>
      </w:r>
      <w:r>
        <w:rPr>
          <w:rFonts w:hint="eastAsia"/>
          <w:lang w:val="en-US" w:eastAsia="zh-CN"/>
        </w:rPr>
        <w:t>3-3</w:t>
      </w:r>
      <w:r>
        <w:rPr>
          <w:rFonts w:hint="eastAsia"/>
        </w:rPr>
        <w:t>。</w:t>
      </w:r>
    </w:p>
    <w:p>
      <w:pPr>
        <w:spacing w:line="276" w:lineRule="auto"/>
        <w:ind w:firstLine="480" w:firstLineChars="200"/>
        <w:jc w:val="center"/>
        <w:rPr>
          <w:rFonts w:ascii="Times New Roman" w:hAnsi="Times New Roman" w:cs="Times New Roman"/>
        </w:rPr>
      </w:pPr>
      <w:r>
        <w:drawing>
          <wp:inline distT="0" distB="0" distL="114300" distR="114300">
            <wp:extent cx="2406650" cy="1543050"/>
            <wp:effectExtent l="0" t="0" r="6350" b="635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6"/>
                    <a:stretch>
                      <a:fillRect/>
                    </a:stretch>
                  </pic:blipFill>
                  <pic:spPr>
                    <a:xfrm>
                      <a:off x="0" y="0"/>
                      <a:ext cx="2406650" cy="1543050"/>
                    </a:xfrm>
                    <a:prstGeom prst="rect">
                      <a:avLst/>
                    </a:prstGeom>
                    <a:noFill/>
                    <a:ln>
                      <a:noFill/>
                    </a:ln>
                  </pic:spPr>
                </pic:pic>
              </a:graphicData>
            </a:graphic>
          </wp:inline>
        </w:drawing>
      </w:r>
    </w:p>
    <w:p>
      <w:pPr>
        <w:spacing w:line="276" w:lineRule="auto"/>
        <w:jc w:val="center"/>
        <w:rPr>
          <w:rFonts w:hint="default"/>
          <w:lang w:val="en-US" w:eastAsia="zh-CN"/>
        </w:rPr>
      </w:pPr>
      <w:r>
        <w:rPr>
          <w:rFonts w:hint="eastAsia"/>
          <w:lang w:val="en-US" w:eastAsia="zh-CN"/>
        </w:rPr>
        <w:t>图3-1 超高压水泵</w:t>
      </w:r>
    </w:p>
    <w:p>
      <w:pPr>
        <w:spacing w:line="276" w:lineRule="auto"/>
        <w:jc w:val="center"/>
      </w:pPr>
      <w:r>
        <w:drawing>
          <wp:inline distT="0" distB="0" distL="114300" distR="114300">
            <wp:extent cx="2279650" cy="2070100"/>
            <wp:effectExtent l="0" t="0" r="6350" b="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7"/>
                    <a:stretch>
                      <a:fillRect/>
                    </a:stretch>
                  </pic:blipFill>
                  <pic:spPr>
                    <a:xfrm>
                      <a:off x="0" y="0"/>
                      <a:ext cx="2279650" cy="2070100"/>
                    </a:xfrm>
                    <a:prstGeom prst="rect">
                      <a:avLst/>
                    </a:prstGeom>
                    <a:noFill/>
                    <a:ln>
                      <a:noFill/>
                    </a:ln>
                  </pic:spPr>
                </pic:pic>
              </a:graphicData>
            </a:graphic>
          </wp:inline>
        </w:drawing>
      </w:r>
    </w:p>
    <w:p>
      <w:pPr>
        <w:spacing w:line="276" w:lineRule="auto"/>
        <w:jc w:val="center"/>
        <w:rPr>
          <w:rFonts w:hint="eastAsia"/>
        </w:rPr>
      </w:pPr>
      <w:r>
        <w:rPr>
          <w:rFonts w:hint="eastAsia"/>
          <w:lang w:val="en-US" w:eastAsia="zh-CN"/>
        </w:rPr>
        <w:t>图3-2</w:t>
      </w:r>
      <w:r>
        <w:rPr>
          <w:rFonts w:hint="eastAsia"/>
        </w:rPr>
        <w:t>设计定制的水射流喷装置（含枪及回转保持架）</w:t>
      </w:r>
    </w:p>
    <w:p>
      <w:pPr>
        <w:spacing w:line="276" w:lineRule="auto"/>
        <w:jc w:val="center"/>
        <w:rPr>
          <w:rFonts w:hint="eastAsia"/>
        </w:rPr>
      </w:pPr>
    </w:p>
    <w:p>
      <w:pPr>
        <w:spacing w:line="276" w:lineRule="auto"/>
        <w:jc w:val="center"/>
      </w:pPr>
      <w:r>
        <w:drawing>
          <wp:inline distT="0" distB="0" distL="114300" distR="114300">
            <wp:extent cx="2731135" cy="1419225"/>
            <wp:effectExtent l="0" t="0" r="12065" b="317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8"/>
                    <a:stretch>
                      <a:fillRect/>
                    </a:stretch>
                  </pic:blipFill>
                  <pic:spPr>
                    <a:xfrm>
                      <a:off x="0" y="0"/>
                      <a:ext cx="2731135" cy="1419225"/>
                    </a:xfrm>
                    <a:prstGeom prst="rect">
                      <a:avLst/>
                    </a:prstGeom>
                    <a:noFill/>
                    <a:ln>
                      <a:noFill/>
                    </a:ln>
                  </pic:spPr>
                </pic:pic>
              </a:graphicData>
            </a:graphic>
          </wp:inline>
        </w:drawing>
      </w:r>
      <w:r>
        <w:drawing>
          <wp:inline distT="0" distB="0" distL="114300" distR="114300">
            <wp:extent cx="1993900" cy="1412240"/>
            <wp:effectExtent l="0" t="0" r="0" b="1016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1993900" cy="1412240"/>
                    </a:xfrm>
                    <a:prstGeom prst="rect">
                      <a:avLst/>
                    </a:prstGeom>
                    <a:noFill/>
                    <a:ln>
                      <a:noFill/>
                    </a:ln>
                  </pic:spPr>
                </pic:pic>
              </a:graphicData>
            </a:graphic>
          </wp:inline>
        </w:drawing>
      </w:r>
    </w:p>
    <w:p>
      <w:pPr>
        <w:spacing w:line="276" w:lineRule="auto"/>
        <w:jc w:val="center"/>
        <w:rPr>
          <w:rFonts w:hint="eastAsia"/>
        </w:rPr>
      </w:pPr>
      <w:r>
        <w:rPr>
          <w:rFonts w:hint="eastAsia"/>
          <w:lang w:val="en-US" w:eastAsia="zh-CN"/>
        </w:rPr>
        <w:t xml:space="preserve">图3-3 </w:t>
      </w:r>
      <w:r>
        <w:rPr>
          <w:rFonts w:hint="eastAsia"/>
        </w:rPr>
        <w:t>高压水射流除漆</w:t>
      </w:r>
      <w:r>
        <w:rPr>
          <w:rFonts w:hint="eastAsia"/>
          <w:lang w:val="en-US" w:eastAsia="zh-CN"/>
        </w:rPr>
        <w:t>除</w:t>
      </w:r>
      <w:r>
        <w:rPr>
          <w:rFonts w:hint="eastAsia"/>
        </w:rPr>
        <w:t>锈工艺试验现场</w:t>
      </w:r>
    </w:p>
    <w:p>
      <w:pPr>
        <w:ind w:firstLine="480" w:firstLineChars="200"/>
        <w:rPr>
          <w:rFonts w:hint="eastAsia"/>
        </w:rPr>
      </w:pPr>
      <w:r>
        <w:rPr>
          <w:rFonts w:hint="eastAsia"/>
        </w:rPr>
        <w:t>在180MPa和200MPa压力、喷枪转速55r/min条件下，对涂装700μm厚Interzone954涂层的DN700直管段进行连续喷射，喷射宽度约60mm，喷射时间分别选取单圈连续打击30s、60s和90s，除漆效果分别见</w:t>
      </w:r>
      <w:r>
        <w:rPr>
          <w:rFonts w:hint="eastAsia"/>
          <w:lang w:val="en-US" w:eastAsia="zh-CN"/>
        </w:rPr>
        <w:t>3</w:t>
      </w:r>
      <w:r>
        <w:rPr>
          <w:rFonts w:hint="eastAsia"/>
        </w:rPr>
        <w:t>-</w:t>
      </w:r>
      <w:r>
        <w:rPr>
          <w:rFonts w:hint="eastAsia"/>
          <w:lang w:val="en-US" w:eastAsia="zh-CN"/>
        </w:rPr>
        <w:t>4</w:t>
      </w:r>
      <w:r>
        <w:rPr>
          <w:rFonts w:hint="eastAsia"/>
        </w:rPr>
        <w:t>、图</w:t>
      </w:r>
      <w:r>
        <w:rPr>
          <w:rFonts w:hint="eastAsia"/>
          <w:lang w:val="en-US" w:eastAsia="zh-CN"/>
        </w:rPr>
        <w:t>3</w:t>
      </w:r>
      <w:r>
        <w:rPr>
          <w:rFonts w:hint="eastAsia"/>
        </w:rPr>
        <w:t>-</w:t>
      </w:r>
      <w:r>
        <w:rPr>
          <w:rFonts w:hint="eastAsia"/>
          <w:lang w:val="en-US" w:eastAsia="zh-CN"/>
        </w:rPr>
        <w:t>5</w:t>
      </w:r>
      <w:r>
        <w:rPr>
          <w:rFonts w:hint="eastAsia"/>
        </w:rPr>
        <w:t>和图</w:t>
      </w:r>
      <w:r>
        <w:rPr>
          <w:rFonts w:hint="eastAsia"/>
          <w:lang w:val="en-US" w:eastAsia="zh-CN"/>
        </w:rPr>
        <w:t>3</w:t>
      </w:r>
      <w:r>
        <w:rPr>
          <w:rFonts w:hint="eastAsia"/>
        </w:rPr>
        <w:t>-</w:t>
      </w:r>
      <w:r>
        <w:rPr>
          <w:rFonts w:hint="eastAsia"/>
          <w:lang w:val="en-US" w:eastAsia="zh-CN"/>
        </w:rPr>
        <w:t>6</w:t>
      </w:r>
      <w:r>
        <w:rPr>
          <w:rFonts w:hint="eastAsia"/>
        </w:rPr>
        <w:t xml:space="preserve">。 </w:t>
      </w:r>
    </w:p>
    <w:p>
      <w:pPr>
        <w:jc w:val="center"/>
      </w:pPr>
      <w:r>
        <w:drawing>
          <wp:inline distT="0" distB="0" distL="114300" distR="114300">
            <wp:extent cx="2419350" cy="1364615"/>
            <wp:effectExtent l="0" t="0" r="635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2419350" cy="1364615"/>
                    </a:xfrm>
                    <a:prstGeom prst="rect">
                      <a:avLst/>
                    </a:prstGeom>
                    <a:noFill/>
                    <a:ln>
                      <a:noFill/>
                    </a:ln>
                  </pic:spPr>
                </pic:pic>
              </a:graphicData>
            </a:graphic>
          </wp:inline>
        </w:drawing>
      </w:r>
      <w:r>
        <w:drawing>
          <wp:inline distT="0" distB="0" distL="114300" distR="114300">
            <wp:extent cx="2437130" cy="1368425"/>
            <wp:effectExtent l="0" t="0" r="127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2437130" cy="1368425"/>
                    </a:xfrm>
                    <a:prstGeom prst="rect">
                      <a:avLst/>
                    </a:prstGeom>
                    <a:noFill/>
                    <a:ln>
                      <a:noFill/>
                    </a:ln>
                  </pic:spPr>
                </pic:pic>
              </a:graphicData>
            </a:graphic>
          </wp:inline>
        </w:drawing>
      </w:r>
    </w:p>
    <w:p>
      <w:pPr>
        <w:spacing w:line="276" w:lineRule="auto"/>
        <w:jc w:val="center"/>
        <w:rPr>
          <w:rFonts w:hint="default"/>
          <w:lang w:val="en-US" w:eastAsia="zh-CN"/>
        </w:rPr>
      </w:pPr>
      <w:r>
        <w:rPr>
          <w:rFonts w:hint="default"/>
          <w:lang w:val="en-US" w:eastAsia="zh-CN"/>
        </w:rPr>
        <w:t>图</w:t>
      </w:r>
      <w:r>
        <w:rPr>
          <w:rFonts w:hint="eastAsia"/>
          <w:lang w:val="en-US" w:eastAsia="zh-CN"/>
        </w:rPr>
        <w:t xml:space="preserve">3-4 </w:t>
      </w:r>
      <w:r>
        <w:rPr>
          <w:rFonts w:hint="default"/>
          <w:lang w:val="en-US" w:eastAsia="zh-CN"/>
        </w:rPr>
        <w:t>喷射时间</w:t>
      </w:r>
      <w:r>
        <w:rPr>
          <w:rFonts w:hint="eastAsia"/>
          <w:lang w:val="en-US" w:eastAsia="zh-CN"/>
        </w:rPr>
        <w:t>30s</w:t>
      </w:r>
      <w:r>
        <w:rPr>
          <w:rFonts w:hint="default"/>
          <w:lang w:val="en-US" w:eastAsia="zh-CN"/>
        </w:rPr>
        <w:t>、压力分别为</w:t>
      </w:r>
      <w:r>
        <w:rPr>
          <w:rFonts w:hint="eastAsia"/>
        </w:rPr>
        <w:t>180MPa和200MPa</w:t>
      </w:r>
      <w:r>
        <w:rPr>
          <w:rFonts w:hint="default"/>
          <w:lang w:val="en-US" w:eastAsia="zh-CN"/>
        </w:rPr>
        <w:t>处理后工件表面状态</w:t>
      </w:r>
    </w:p>
    <w:p>
      <w:pPr>
        <w:ind w:firstLine="480" w:firstLineChars="200"/>
        <w:jc w:val="both"/>
        <w:rPr>
          <w:rFonts w:hint="eastAsia" w:ascii="宋体" w:hAnsi="宋体" w:eastAsia="宋体"/>
          <w:color w:val="000000"/>
          <w:sz w:val="21"/>
          <w:szCs w:val="24"/>
        </w:rPr>
      </w:pPr>
      <w:r>
        <w:drawing>
          <wp:inline distT="0" distB="0" distL="114300" distR="114300">
            <wp:extent cx="2341245" cy="1321435"/>
            <wp:effectExtent l="0" t="0" r="8255" b="1206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2"/>
                    <a:stretch>
                      <a:fillRect/>
                    </a:stretch>
                  </pic:blipFill>
                  <pic:spPr>
                    <a:xfrm>
                      <a:off x="0" y="0"/>
                      <a:ext cx="2341245" cy="1321435"/>
                    </a:xfrm>
                    <a:prstGeom prst="rect">
                      <a:avLst/>
                    </a:prstGeom>
                    <a:noFill/>
                    <a:ln>
                      <a:noFill/>
                    </a:ln>
                  </pic:spPr>
                </pic:pic>
              </a:graphicData>
            </a:graphic>
          </wp:inline>
        </w:drawing>
      </w:r>
      <w:r>
        <w:drawing>
          <wp:inline distT="0" distB="0" distL="114300" distR="114300">
            <wp:extent cx="2320925" cy="1311275"/>
            <wp:effectExtent l="0" t="0" r="3175" b="952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3"/>
                    <a:stretch>
                      <a:fillRect/>
                    </a:stretch>
                  </pic:blipFill>
                  <pic:spPr>
                    <a:xfrm>
                      <a:off x="0" y="0"/>
                      <a:ext cx="2320925" cy="1311275"/>
                    </a:xfrm>
                    <a:prstGeom prst="rect">
                      <a:avLst/>
                    </a:prstGeom>
                    <a:noFill/>
                    <a:ln>
                      <a:noFill/>
                    </a:ln>
                  </pic:spPr>
                </pic:pic>
              </a:graphicData>
            </a:graphic>
          </wp:inline>
        </w:drawing>
      </w:r>
    </w:p>
    <w:p>
      <w:pPr>
        <w:spacing w:line="276" w:lineRule="auto"/>
        <w:jc w:val="center"/>
        <w:rPr>
          <w:rFonts w:hint="default"/>
          <w:lang w:val="en-US" w:eastAsia="zh-CN"/>
        </w:rPr>
      </w:pPr>
      <w:r>
        <w:rPr>
          <w:rFonts w:hint="default"/>
          <w:lang w:val="en-US" w:eastAsia="zh-CN"/>
        </w:rPr>
        <w:t>图</w:t>
      </w:r>
      <w:r>
        <w:rPr>
          <w:rFonts w:hint="eastAsia"/>
          <w:lang w:val="en-US" w:eastAsia="zh-CN"/>
        </w:rPr>
        <w:t xml:space="preserve">3-5 </w:t>
      </w:r>
      <w:r>
        <w:rPr>
          <w:rFonts w:hint="default"/>
          <w:lang w:val="en-US" w:eastAsia="zh-CN"/>
        </w:rPr>
        <w:t>喷射时间</w:t>
      </w:r>
      <w:r>
        <w:rPr>
          <w:rFonts w:hint="eastAsia"/>
          <w:lang w:val="en-US" w:eastAsia="zh-CN"/>
        </w:rPr>
        <w:t>60s</w:t>
      </w:r>
      <w:r>
        <w:rPr>
          <w:rFonts w:hint="default"/>
          <w:lang w:val="en-US" w:eastAsia="zh-CN"/>
        </w:rPr>
        <w:t>、压力分别为</w:t>
      </w:r>
      <w:r>
        <w:rPr>
          <w:rFonts w:hint="eastAsia"/>
        </w:rPr>
        <w:t>180MPa和200MPa</w:t>
      </w:r>
      <w:r>
        <w:rPr>
          <w:rFonts w:hint="default"/>
          <w:lang w:val="en-US" w:eastAsia="zh-CN"/>
        </w:rPr>
        <w:t>处理后工件表面状态</w:t>
      </w:r>
    </w:p>
    <w:p>
      <w:pPr>
        <w:jc w:val="center"/>
        <w:rPr>
          <w:rFonts w:hint="default" w:ascii="宋体" w:hAnsi="宋体" w:eastAsia="宋体"/>
          <w:color w:val="000000"/>
          <w:sz w:val="21"/>
          <w:szCs w:val="24"/>
        </w:rPr>
      </w:pPr>
      <w:r>
        <w:drawing>
          <wp:inline distT="0" distB="0" distL="114300" distR="114300">
            <wp:extent cx="2426970" cy="1366520"/>
            <wp:effectExtent l="0" t="0" r="11430" b="508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14"/>
                    <a:stretch>
                      <a:fillRect/>
                    </a:stretch>
                  </pic:blipFill>
                  <pic:spPr>
                    <a:xfrm>
                      <a:off x="0" y="0"/>
                      <a:ext cx="2426970" cy="1366520"/>
                    </a:xfrm>
                    <a:prstGeom prst="rect">
                      <a:avLst/>
                    </a:prstGeom>
                    <a:noFill/>
                    <a:ln>
                      <a:noFill/>
                    </a:ln>
                  </pic:spPr>
                </pic:pic>
              </a:graphicData>
            </a:graphic>
          </wp:inline>
        </w:drawing>
      </w:r>
      <w:r>
        <w:drawing>
          <wp:inline distT="0" distB="0" distL="114300" distR="114300">
            <wp:extent cx="2475865" cy="1370330"/>
            <wp:effectExtent l="0" t="0" r="635" b="127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5"/>
                    <a:stretch>
                      <a:fillRect/>
                    </a:stretch>
                  </pic:blipFill>
                  <pic:spPr>
                    <a:xfrm>
                      <a:off x="0" y="0"/>
                      <a:ext cx="2475865" cy="1370330"/>
                    </a:xfrm>
                    <a:prstGeom prst="rect">
                      <a:avLst/>
                    </a:prstGeom>
                    <a:noFill/>
                    <a:ln>
                      <a:noFill/>
                    </a:ln>
                  </pic:spPr>
                </pic:pic>
              </a:graphicData>
            </a:graphic>
          </wp:inline>
        </w:drawing>
      </w:r>
    </w:p>
    <w:p>
      <w:pPr>
        <w:spacing w:line="276" w:lineRule="auto"/>
        <w:jc w:val="center"/>
        <w:rPr>
          <w:rFonts w:hint="default"/>
          <w:lang w:val="en-US" w:eastAsia="zh-CN"/>
        </w:rPr>
      </w:pPr>
      <w:r>
        <w:rPr>
          <w:rFonts w:hint="default"/>
          <w:lang w:val="en-US" w:eastAsia="zh-CN"/>
        </w:rPr>
        <w:t>图</w:t>
      </w:r>
      <w:r>
        <w:rPr>
          <w:rFonts w:hint="eastAsia"/>
          <w:lang w:val="en-US" w:eastAsia="zh-CN"/>
        </w:rPr>
        <w:t xml:space="preserve">3-6 </w:t>
      </w:r>
      <w:r>
        <w:rPr>
          <w:rFonts w:hint="default"/>
          <w:lang w:val="en-US" w:eastAsia="zh-CN"/>
        </w:rPr>
        <w:t>喷射时间</w:t>
      </w:r>
      <w:r>
        <w:rPr>
          <w:rFonts w:hint="eastAsia"/>
          <w:lang w:val="en-US" w:eastAsia="zh-CN"/>
        </w:rPr>
        <w:t>90s</w:t>
      </w:r>
      <w:r>
        <w:rPr>
          <w:rFonts w:hint="default"/>
          <w:lang w:val="en-US" w:eastAsia="zh-CN"/>
        </w:rPr>
        <w:t>、压力分别为</w:t>
      </w:r>
      <w:r>
        <w:rPr>
          <w:rFonts w:hint="eastAsia"/>
        </w:rPr>
        <w:t>180MPa和200MPa</w:t>
      </w:r>
      <w:r>
        <w:rPr>
          <w:rFonts w:hint="default"/>
          <w:lang w:val="en-US" w:eastAsia="zh-CN"/>
        </w:rPr>
        <w:t>处理后工件表面状态</w:t>
      </w:r>
    </w:p>
    <w:p>
      <w:pPr>
        <w:spacing w:beforeLines="0" w:afterLines="0"/>
        <w:jc w:val="left"/>
        <w:rPr>
          <w:rFonts w:hint="eastAsia" w:ascii="宋体" w:hAnsi="宋体" w:eastAsia="宋体"/>
          <w:color w:val="000000"/>
          <w:sz w:val="23"/>
          <w:szCs w:val="24"/>
        </w:rPr>
      </w:pPr>
    </w:p>
    <w:p>
      <w:pPr>
        <w:ind w:firstLine="460" w:firstLineChars="200"/>
        <w:rPr>
          <w:rFonts w:hint="eastAsia" w:ascii="宋体" w:hAnsi="宋体" w:eastAsia="宋体"/>
          <w:color w:val="000000"/>
          <w:sz w:val="23"/>
          <w:szCs w:val="24"/>
        </w:rPr>
      </w:pPr>
      <w:r>
        <w:rPr>
          <w:rFonts w:hint="eastAsia" w:ascii="宋体" w:hAnsi="宋体" w:eastAsia="宋体"/>
          <w:color w:val="000000"/>
          <w:sz w:val="23"/>
          <w:szCs w:val="24"/>
        </w:rPr>
        <w:t>通过分析对比上述实验结果可知</w:t>
      </w:r>
      <w:r>
        <w:rPr>
          <w:rFonts w:hint="eastAsia"/>
          <w:color w:val="000000"/>
          <w:sz w:val="23"/>
          <w:szCs w:val="24"/>
          <w:lang w:eastAsia="zh-CN"/>
        </w:rPr>
        <w:t>，</w:t>
      </w:r>
      <w:r>
        <w:rPr>
          <w:rFonts w:hint="eastAsia" w:ascii="宋体" w:hAnsi="宋体" w:eastAsia="宋体"/>
          <w:color w:val="000000"/>
          <w:sz w:val="23"/>
          <w:szCs w:val="24"/>
        </w:rPr>
        <w:t>对于内壁涂装膜厚</w:t>
      </w:r>
      <w:r>
        <w:rPr>
          <w:rFonts w:hint="eastAsia" w:ascii="Times New Roman" w:hAnsi="Times New Roman" w:eastAsia="Times New Roman"/>
          <w:color w:val="000000"/>
          <w:sz w:val="23"/>
          <w:szCs w:val="24"/>
        </w:rPr>
        <w:t>700μm</w:t>
      </w:r>
      <w:r>
        <w:rPr>
          <w:rFonts w:hint="eastAsia" w:ascii="宋体" w:hAnsi="宋体" w:eastAsia="宋体"/>
          <w:color w:val="000000"/>
          <w:sz w:val="23"/>
          <w:szCs w:val="24"/>
        </w:rPr>
        <w:t>的</w:t>
      </w:r>
      <w:r>
        <w:rPr>
          <w:rFonts w:hint="eastAsia" w:ascii="Times New Roman" w:hAnsi="Times New Roman" w:eastAsia="Times New Roman"/>
          <w:color w:val="000000"/>
          <w:sz w:val="23"/>
          <w:szCs w:val="24"/>
        </w:rPr>
        <w:t>Interzone954</w:t>
      </w:r>
      <w:r>
        <w:rPr>
          <w:rFonts w:hint="eastAsia" w:ascii="宋体" w:hAnsi="宋体" w:eastAsia="宋体"/>
          <w:color w:val="000000"/>
          <w:sz w:val="23"/>
          <w:szCs w:val="24"/>
        </w:rPr>
        <w:t>涂层的管道而言，如需将油漆全部清除至金属基体，在兼顾效率的情况下可考虑将水压继续提升至</w:t>
      </w:r>
      <w:r>
        <w:rPr>
          <w:rFonts w:hint="eastAsia" w:ascii="Times New Roman" w:hAnsi="Times New Roman" w:eastAsia="Times New Roman"/>
          <w:color w:val="000000"/>
          <w:sz w:val="23"/>
          <w:szCs w:val="24"/>
        </w:rPr>
        <w:t>200</w:t>
      </w:r>
      <w:r>
        <w:rPr>
          <w:rFonts w:hint="eastAsia"/>
        </w:rPr>
        <w:t>MPa</w:t>
      </w:r>
      <w:r>
        <w:rPr>
          <w:rFonts w:hint="eastAsia" w:ascii="宋体" w:hAnsi="宋体" w:eastAsia="宋体"/>
          <w:color w:val="000000"/>
          <w:sz w:val="23"/>
          <w:szCs w:val="24"/>
        </w:rPr>
        <w:t>以上。按照</w:t>
      </w:r>
      <w:r>
        <w:rPr>
          <w:rFonts w:hint="eastAsia" w:ascii="Times New Roman" w:hAnsi="Times New Roman" w:eastAsia="Times New Roman"/>
          <w:color w:val="000000"/>
          <w:sz w:val="23"/>
          <w:szCs w:val="24"/>
        </w:rPr>
        <w:t>90s</w:t>
      </w:r>
      <w:r>
        <w:rPr>
          <w:rFonts w:hint="eastAsia" w:ascii="宋体" w:hAnsi="宋体" w:eastAsia="宋体"/>
          <w:color w:val="000000"/>
          <w:sz w:val="23"/>
          <w:szCs w:val="24"/>
        </w:rPr>
        <w:t>去除</w:t>
      </w:r>
      <w:r>
        <w:rPr>
          <w:rFonts w:hint="eastAsia" w:ascii="Times New Roman" w:hAnsi="Times New Roman" w:eastAsia="Times New Roman"/>
          <w:color w:val="000000"/>
          <w:sz w:val="23"/>
          <w:szCs w:val="24"/>
        </w:rPr>
        <w:t>60mm</w:t>
      </w:r>
      <w:r>
        <w:rPr>
          <w:rFonts w:hint="eastAsia" w:ascii="宋体" w:hAnsi="宋体" w:eastAsia="宋体"/>
          <w:color w:val="000000"/>
          <w:sz w:val="23"/>
          <w:szCs w:val="24"/>
        </w:rPr>
        <w:t>宽度的效率进行测算，处理</w:t>
      </w:r>
      <w:r>
        <w:rPr>
          <w:rFonts w:hint="eastAsia" w:ascii="Times New Roman" w:hAnsi="Times New Roman" w:eastAsia="Times New Roman"/>
          <w:color w:val="000000"/>
          <w:sz w:val="23"/>
          <w:szCs w:val="24"/>
        </w:rPr>
        <w:t>DN700mm</w:t>
      </w:r>
      <w:r>
        <w:rPr>
          <w:rFonts w:hint="eastAsia" w:ascii="宋体" w:hAnsi="宋体" w:eastAsia="宋体"/>
          <w:color w:val="000000"/>
          <w:sz w:val="23"/>
          <w:szCs w:val="24"/>
        </w:rPr>
        <w:t>管道的效率（也即喷射装置整体移动速度）为</w:t>
      </w:r>
      <w:r>
        <w:rPr>
          <w:rFonts w:hint="eastAsia" w:ascii="Times New Roman" w:hAnsi="Times New Roman" w:eastAsia="Times New Roman"/>
          <w:color w:val="000000"/>
          <w:sz w:val="23"/>
          <w:szCs w:val="24"/>
        </w:rPr>
        <w:t>2.4m/h</w:t>
      </w:r>
      <w:r>
        <w:rPr>
          <w:rFonts w:hint="eastAsia" w:ascii="宋体" w:hAnsi="宋体" w:eastAsia="宋体"/>
          <w:color w:val="000000"/>
          <w:sz w:val="23"/>
          <w:szCs w:val="24"/>
        </w:rPr>
        <w:t>。如仅需去除油漆表面老化层，水压选择</w:t>
      </w:r>
      <w:r>
        <w:rPr>
          <w:rFonts w:hint="eastAsia" w:ascii="Times New Roman" w:hAnsi="Times New Roman" w:eastAsia="Times New Roman"/>
          <w:color w:val="000000"/>
          <w:sz w:val="23"/>
          <w:szCs w:val="24"/>
        </w:rPr>
        <w:t>180</w:t>
      </w:r>
      <w:r>
        <w:rPr>
          <w:rFonts w:hint="eastAsia"/>
        </w:rPr>
        <w:t>MPa</w:t>
      </w:r>
      <w:r>
        <w:rPr>
          <w:rFonts w:hint="eastAsia" w:ascii="宋体" w:hAnsi="宋体" w:eastAsia="宋体"/>
          <w:color w:val="000000"/>
          <w:sz w:val="23"/>
          <w:szCs w:val="24"/>
        </w:rPr>
        <w:t>可满足需求。按照</w:t>
      </w:r>
      <w:r>
        <w:rPr>
          <w:rFonts w:hint="eastAsia" w:ascii="Times New Roman" w:hAnsi="Times New Roman" w:eastAsia="Times New Roman"/>
          <w:color w:val="000000"/>
          <w:sz w:val="23"/>
          <w:szCs w:val="24"/>
        </w:rPr>
        <w:t>30s</w:t>
      </w:r>
      <w:r>
        <w:rPr>
          <w:rFonts w:hint="eastAsia" w:ascii="宋体" w:hAnsi="宋体" w:eastAsia="宋体"/>
          <w:color w:val="000000"/>
          <w:sz w:val="23"/>
          <w:szCs w:val="24"/>
        </w:rPr>
        <w:t>去除</w:t>
      </w:r>
      <w:r>
        <w:rPr>
          <w:rFonts w:hint="eastAsia" w:ascii="Times New Roman" w:hAnsi="Times New Roman" w:eastAsia="Times New Roman"/>
          <w:color w:val="000000"/>
          <w:sz w:val="23"/>
          <w:szCs w:val="24"/>
        </w:rPr>
        <w:t>60mm</w:t>
      </w:r>
      <w:r>
        <w:rPr>
          <w:rFonts w:hint="eastAsia" w:ascii="宋体" w:hAnsi="宋体" w:eastAsia="宋体"/>
          <w:color w:val="000000"/>
          <w:sz w:val="23"/>
          <w:szCs w:val="24"/>
        </w:rPr>
        <w:t>宽度的效率进行测算，处理</w:t>
      </w:r>
      <w:r>
        <w:rPr>
          <w:rFonts w:hint="eastAsia" w:ascii="Times New Roman" w:hAnsi="Times New Roman" w:eastAsia="Times New Roman"/>
          <w:color w:val="000000"/>
          <w:sz w:val="23"/>
          <w:szCs w:val="24"/>
        </w:rPr>
        <w:t>DN700mm</w:t>
      </w:r>
      <w:r>
        <w:rPr>
          <w:rFonts w:hint="eastAsia" w:ascii="宋体" w:hAnsi="宋体" w:eastAsia="宋体"/>
          <w:color w:val="000000"/>
          <w:sz w:val="23"/>
          <w:szCs w:val="24"/>
        </w:rPr>
        <w:t>管道的效率（也即喷射装置整体移动速度）为</w:t>
      </w:r>
      <w:r>
        <w:rPr>
          <w:rFonts w:hint="eastAsia" w:ascii="Times New Roman" w:hAnsi="Times New Roman" w:eastAsia="Times New Roman"/>
          <w:color w:val="000000"/>
          <w:sz w:val="23"/>
          <w:szCs w:val="24"/>
        </w:rPr>
        <w:t>7.2m/h</w:t>
      </w:r>
      <w:r>
        <w:rPr>
          <w:rFonts w:hint="eastAsia" w:ascii="宋体" w:hAnsi="宋体" w:eastAsia="宋体"/>
          <w:color w:val="000000"/>
          <w:sz w:val="23"/>
          <w:szCs w:val="24"/>
        </w:rPr>
        <w:t>；如果将去除老化层的程度进一步降低，则可提升处理效率，如果同时搭配</w:t>
      </w:r>
      <w:r>
        <w:rPr>
          <w:rFonts w:hint="eastAsia" w:ascii="Times New Roman" w:hAnsi="Times New Roman" w:eastAsia="Times New Roman"/>
          <w:color w:val="000000"/>
          <w:sz w:val="23"/>
          <w:szCs w:val="24"/>
        </w:rPr>
        <w:t>200</w:t>
      </w:r>
      <w:r>
        <w:rPr>
          <w:rFonts w:hint="eastAsia"/>
        </w:rPr>
        <w:t>MPa</w:t>
      </w:r>
      <w:r>
        <w:rPr>
          <w:rFonts w:hint="eastAsia"/>
          <w:lang w:val="en-US" w:eastAsia="zh-CN"/>
        </w:rPr>
        <w:t>以上</w:t>
      </w:r>
      <w:r>
        <w:rPr>
          <w:rFonts w:hint="eastAsia" w:ascii="宋体" w:hAnsi="宋体" w:eastAsia="宋体"/>
          <w:color w:val="000000"/>
          <w:sz w:val="23"/>
          <w:szCs w:val="24"/>
        </w:rPr>
        <w:t>的水压，则可进一步提升处理效率。具体</w:t>
      </w:r>
      <w:r>
        <w:rPr>
          <w:rFonts w:hint="eastAsia"/>
          <w:color w:val="000000"/>
          <w:sz w:val="23"/>
          <w:szCs w:val="24"/>
          <w:lang w:val="en-US" w:eastAsia="zh-CN"/>
        </w:rPr>
        <w:t>参数</w:t>
      </w:r>
      <w:r>
        <w:rPr>
          <w:rFonts w:hint="eastAsia" w:ascii="宋体" w:hAnsi="宋体" w:eastAsia="宋体"/>
          <w:color w:val="000000"/>
          <w:sz w:val="23"/>
          <w:szCs w:val="24"/>
        </w:rPr>
        <w:t xml:space="preserve">选择与涂层状况（厚度、类型、老化程度等）存在一定关联。 </w:t>
      </w:r>
    </w:p>
    <w:p>
      <w:pPr>
        <w:rPr>
          <w:rFonts w:hint="eastAsia" w:eastAsia="宋体"/>
          <w:b/>
          <w:bCs/>
          <w:lang w:val="en-US" w:eastAsia="zh-CN"/>
        </w:rPr>
      </w:pPr>
      <w:r>
        <w:rPr>
          <w:b/>
          <w:bCs/>
        </w:rPr>
        <w:t>2</w:t>
      </w:r>
      <w:r>
        <w:rPr>
          <w:rFonts w:hint="eastAsia"/>
          <w:b/>
          <w:bCs/>
        </w:rPr>
        <w:t>）、空化水射流冲击表面强化处理</w:t>
      </w:r>
      <w:r>
        <w:rPr>
          <w:rFonts w:hint="eastAsia"/>
          <w:b/>
          <w:bCs/>
          <w:lang w:val="en-US" w:eastAsia="zh-CN"/>
        </w:rPr>
        <w:t>试验</w:t>
      </w:r>
    </w:p>
    <w:p>
      <w:pPr>
        <w:rPr>
          <w:rFonts w:hint="default"/>
          <w:lang w:val="en-US" w:eastAsia="zh-CN"/>
        </w:rPr>
      </w:pPr>
      <w:r>
        <w:rPr>
          <w:rFonts w:hint="eastAsia"/>
          <w:lang w:val="en-US" w:eastAsia="zh-CN"/>
        </w:rPr>
        <w:t>以316L不锈钢为对象，采用空化水射流冲击材料表面强化装备开展试验。试验设备如图3-7所示。试验压力为0-50MPa，处理时间为10-600s，喷嘴几何形状、喷嘴与处理部件靶距等参数固定。</w:t>
      </w:r>
    </w:p>
    <w:p>
      <w:pPr>
        <w:rPr>
          <w:rFonts w:hint="eastAsia"/>
          <w:lang w:val="en-US" w:eastAsia="zh-CN"/>
        </w:rPr>
      </w:pPr>
    </w:p>
    <w:p>
      <w:pPr>
        <w:rPr>
          <w:rFonts w:hint="eastAsia"/>
          <w:lang w:val="en-US" w:eastAsia="zh-CN"/>
        </w:rPr>
      </w:pPr>
    </w:p>
    <w:p>
      <w:pPr>
        <w:rPr>
          <w:rFonts w:hint="eastAsia"/>
          <w:lang w:val="en-US" w:eastAsia="zh-CN"/>
        </w:rPr>
      </w:pPr>
    </w:p>
    <w:p>
      <w:pPr>
        <w:jc w:val="center"/>
      </w:pPr>
      <w:r>
        <w:drawing>
          <wp:inline distT="0" distB="0" distL="114300" distR="114300">
            <wp:extent cx="3239770" cy="2093595"/>
            <wp:effectExtent l="0" t="0" r="11430" b="1905"/>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6"/>
                    <a:stretch>
                      <a:fillRect/>
                    </a:stretch>
                  </pic:blipFill>
                  <pic:spPr>
                    <a:xfrm>
                      <a:off x="0" y="0"/>
                      <a:ext cx="3239770" cy="2093595"/>
                    </a:xfrm>
                    <a:prstGeom prst="rect">
                      <a:avLst/>
                    </a:prstGeom>
                    <a:noFill/>
                    <a:ln>
                      <a:noFill/>
                    </a:ln>
                  </pic:spPr>
                </pic:pic>
              </a:graphicData>
            </a:graphic>
          </wp:inline>
        </w:drawing>
      </w:r>
    </w:p>
    <w:p>
      <w:pPr>
        <w:spacing w:line="276" w:lineRule="auto"/>
        <w:jc w:val="center"/>
        <w:rPr>
          <w:rFonts w:hint="eastAsia"/>
        </w:rPr>
      </w:pPr>
      <w:r>
        <w:rPr>
          <w:rFonts w:hint="eastAsia"/>
          <w:lang w:val="en-US" w:eastAsia="zh-CN"/>
        </w:rPr>
        <w:t xml:space="preserve">图3-7 </w:t>
      </w:r>
      <w:r>
        <w:rPr>
          <w:rFonts w:hint="eastAsia"/>
        </w:rPr>
        <w:t>空化水射流冲击材料表面强化</w:t>
      </w:r>
      <w:r>
        <w:rPr>
          <w:rFonts w:hint="eastAsia"/>
          <w:lang w:val="en-US" w:eastAsia="zh-CN"/>
        </w:rPr>
        <w:t>试验</w:t>
      </w:r>
      <w:r>
        <w:rPr>
          <w:rFonts w:hint="eastAsia"/>
        </w:rPr>
        <w:t>装备</w:t>
      </w:r>
    </w:p>
    <w:p>
      <w:pPr>
        <w:tabs>
          <w:tab w:val="left" w:pos="240"/>
          <w:tab w:val="right" w:leader="dot" w:pos="8921"/>
        </w:tabs>
        <w:spacing w:line="440" w:lineRule="exact"/>
        <w:ind w:firstLine="480" w:firstLineChars="200"/>
        <w:jc w:val="left"/>
        <w:rPr>
          <w:rFonts w:hint="eastAsia"/>
        </w:rPr>
      </w:pPr>
      <w:r>
        <w:t>从</w:t>
      </w:r>
      <w:r>
        <w:rPr>
          <w:rFonts w:hint="eastAsia" w:ascii="Times New Roman" w:hAnsi="Times New Roman" w:eastAsia="宋体" w:cs="Times New Roman"/>
          <w:lang w:val="en-US" w:eastAsia="zh-CN"/>
        </w:rPr>
        <w:t>图3-8可以看出，</w:t>
      </w:r>
      <w:r>
        <w:rPr>
          <w:rFonts w:hint="eastAsia"/>
        </w:rPr>
        <w:t>随着工作压力的增加，材料表面残余应力总体呈上升趋势。当工作压力低于30MPa时，水射流致残余压应力快速增加。进一步提高工作压力，残余应力达到稳定值，表面残余压应力略低于500MPa。</w:t>
      </w:r>
    </w:p>
    <w:p>
      <w:pPr>
        <w:pStyle w:val="2"/>
        <w:jc w:val="center"/>
      </w:pPr>
      <w:r>
        <w:drawing>
          <wp:inline distT="0" distB="0" distL="114300" distR="114300">
            <wp:extent cx="2728595" cy="1933575"/>
            <wp:effectExtent l="0" t="0" r="1905" b="9525"/>
            <wp:docPr id="1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pic:cNvPicPr>
                      <a:picLocks noChangeAspect="1"/>
                    </pic:cNvPicPr>
                  </pic:nvPicPr>
                  <pic:blipFill>
                    <a:blip r:embed="rId17"/>
                    <a:srcRect l="3233" t="9976" r="10925" b="4289"/>
                    <a:stretch>
                      <a:fillRect/>
                    </a:stretch>
                  </pic:blipFill>
                  <pic:spPr>
                    <a:xfrm>
                      <a:off x="0" y="0"/>
                      <a:ext cx="2728595" cy="1933575"/>
                    </a:xfrm>
                    <a:prstGeom prst="rect">
                      <a:avLst/>
                    </a:prstGeom>
                    <a:noFill/>
                    <a:ln>
                      <a:noFill/>
                    </a:ln>
                  </pic:spPr>
                </pic:pic>
              </a:graphicData>
            </a:graphic>
          </wp:inline>
        </w:drawing>
      </w:r>
    </w:p>
    <w:p>
      <w:pPr>
        <w:spacing w:line="276" w:lineRule="auto"/>
        <w:jc w:val="center"/>
        <w:rPr>
          <w:rFonts w:hint="default" w:ascii="宋体" w:hAnsi="宋体" w:eastAsia="宋体"/>
          <w:lang w:val="en-US" w:eastAsia="zh-CN"/>
        </w:rPr>
      </w:pPr>
      <w:bookmarkStart w:id="0" w:name="_Ref3308"/>
      <w:r>
        <w:rPr>
          <w:rFonts w:hint="default" w:ascii="宋体" w:hAnsi="宋体" w:eastAsia="宋体"/>
          <w:lang w:val="en-US" w:eastAsia="zh-CN"/>
        </w:rPr>
        <w:t>图</w:t>
      </w:r>
      <w:bookmarkEnd w:id="0"/>
      <w:r>
        <w:rPr>
          <w:rFonts w:hint="eastAsia" w:ascii="宋体" w:hAnsi="宋体" w:eastAsia="宋体"/>
          <w:lang w:val="en-US" w:eastAsia="zh-CN"/>
        </w:rPr>
        <w:t>3-8 空化水射流冲击表面强化处理后表面残余应力随工作压力变化曲线</w:t>
      </w:r>
    </w:p>
    <w:p>
      <w:pPr>
        <w:spacing w:line="440" w:lineRule="exact"/>
        <w:ind w:firstLine="480" w:firstLineChars="200"/>
        <w:jc w:val="left"/>
      </w:pPr>
      <w:r>
        <w:t>从</w:t>
      </w:r>
      <w:r>
        <w:rPr>
          <w:rFonts w:hint="eastAsia" w:ascii="Times New Roman" w:hAnsi="Times New Roman" w:eastAsia="宋体" w:cs="Times New Roman"/>
          <w:lang w:val="en-US" w:eastAsia="zh-CN"/>
        </w:rPr>
        <w:t>图3-9可以看出，</w:t>
      </w:r>
      <w:r>
        <w:t>残余压应力随喷射时间增加而增大，60秒后达到稳定。分析认为空化水射流处理存在时间饱和现象，当处理时间较短时，空化水泡破裂产生的冲击力持续引起表面微观结构改变，材料表层变形不断积累，当达到一定阈值时，表面积累变形与当前空化水泡破裂产生的冲击作用相互平衡，组织不再明显改变，残余应力也不再继续增加。</w:t>
      </w:r>
    </w:p>
    <w:p>
      <w:pPr>
        <w:pStyle w:val="2"/>
        <w:rPr>
          <w:lang w:val="zh-CN"/>
        </w:rPr>
      </w:pPr>
    </w:p>
    <w:p>
      <w:pPr>
        <w:spacing w:before="0" w:beforeLines="0" w:beforeAutospacing="0" w:after="0" w:afterLines="0" w:afterAutospacing="0" w:line="240" w:lineRule="auto"/>
        <w:contextualSpacing/>
        <w:jc w:val="center"/>
      </w:pPr>
      <w:r>
        <w:drawing>
          <wp:inline distT="0" distB="0" distL="114300" distR="114300">
            <wp:extent cx="2757170" cy="1972945"/>
            <wp:effectExtent l="0" t="0" r="11430" b="825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18"/>
                    <a:srcRect l="2505" t="7306" r="9363" b="2997"/>
                    <a:stretch>
                      <a:fillRect/>
                    </a:stretch>
                  </pic:blipFill>
                  <pic:spPr>
                    <a:xfrm>
                      <a:off x="0" y="0"/>
                      <a:ext cx="2757170" cy="1972945"/>
                    </a:xfrm>
                    <a:prstGeom prst="rect">
                      <a:avLst/>
                    </a:prstGeom>
                    <a:noFill/>
                    <a:ln>
                      <a:noFill/>
                    </a:ln>
                  </pic:spPr>
                </pic:pic>
              </a:graphicData>
            </a:graphic>
          </wp:inline>
        </w:drawing>
      </w:r>
    </w:p>
    <w:p>
      <w:pPr>
        <w:spacing w:line="276" w:lineRule="auto"/>
        <w:jc w:val="center"/>
        <w:rPr>
          <w:rFonts w:hint="eastAsia" w:ascii="宋体" w:hAnsi="宋体" w:eastAsia="宋体"/>
          <w:lang w:val="en-US" w:eastAsia="zh-CN"/>
        </w:rPr>
      </w:pPr>
      <w:bookmarkStart w:id="1" w:name="_Ref3050"/>
      <w:r>
        <w:rPr>
          <w:rFonts w:hint="default" w:ascii="宋体" w:hAnsi="宋体" w:eastAsia="宋体"/>
          <w:lang w:val="en-US" w:eastAsia="zh-CN"/>
        </w:rPr>
        <w:t>图</w:t>
      </w:r>
      <w:bookmarkEnd w:id="1"/>
      <w:r>
        <w:rPr>
          <w:rFonts w:hint="eastAsia" w:ascii="宋体" w:hAnsi="宋体" w:eastAsia="宋体"/>
          <w:lang w:val="en-US" w:eastAsia="zh-CN"/>
        </w:rPr>
        <w:t>3-9 空化水射流冲击表面强化处理后表面残余应力随喷射时间变化曲线</w:t>
      </w:r>
    </w:p>
    <w:p>
      <w:pPr>
        <w:adjustRightInd w:val="0"/>
        <w:snapToGrid w:val="0"/>
        <w:spacing w:line="440" w:lineRule="exact"/>
        <w:ind w:firstLine="480" w:firstLineChars="200"/>
      </w:pPr>
      <w:r>
        <w:rPr>
          <w:rFonts w:hint="eastAsia"/>
          <w:lang w:val="en-US" w:eastAsia="zh-CN"/>
        </w:rPr>
        <w:t>空化水射流冲击表面强化效果验证试验</w:t>
      </w:r>
      <w:r>
        <w:t>以核电站一回路主管道用316L不锈钢为研究对象</w:t>
      </w:r>
      <w:r>
        <w:rPr>
          <w:rFonts w:hint="eastAsia"/>
          <w:lang w:eastAsia="zh-CN"/>
        </w:rPr>
        <w:t>。</w:t>
      </w:r>
      <w:r>
        <w:t>由于材料原始态</w:t>
      </w:r>
      <w:r>
        <w:rPr>
          <w:rFonts w:hint="eastAsia"/>
          <w:lang w:val="en-US" w:eastAsia="zh-CN"/>
        </w:rPr>
        <w:t>应力腐蚀开裂</w:t>
      </w:r>
      <w:r>
        <w:t>敏感性低，为提高处理效果影响，先进行冷轧处理，使材料变形量为10%，提高</w:t>
      </w:r>
      <w:r>
        <w:rPr>
          <w:rFonts w:hint="eastAsia"/>
          <w:lang w:val="en-US" w:eastAsia="zh-CN"/>
        </w:rPr>
        <w:t>应力腐蚀开裂</w:t>
      </w:r>
      <w:r>
        <w:t>敏感性，然后进行高温高压水环境</w:t>
      </w:r>
      <w:r>
        <w:rPr>
          <w:rFonts w:hint="eastAsia"/>
          <w:lang w:val="en-US" w:eastAsia="zh-CN"/>
        </w:rPr>
        <w:t>应力腐蚀开裂</w:t>
      </w:r>
      <w:r>
        <w:t>行为研究。</w:t>
      </w:r>
      <w:r>
        <w:rPr>
          <w:rFonts w:hint="eastAsia"/>
          <w:lang w:val="en-US" w:eastAsia="zh-CN"/>
        </w:rPr>
        <w:t>应力腐蚀开裂</w:t>
      </w:r>
      <w:r>
        <w:t>样品尺寸为直径8mm的圆棒样品，平行段长15mm，采用双平面设计，两侧为圆弧形。空化水处理部位为平行段的两个平面</w:t>
      </w:r>
      <w:r>
        <w:rPr>
          <w:rFonts w:hint="eastAsia"/>
        </w:rPr>
        <w:t>，如</w:t>
      </w:r>
      <w:r>
        <w:rPr>
          <w:rFonts w:hint="eastAsia" w:ascii="Times New Roman" w:hAnsi="Times New Roman" w:eastAsia="宋体" w:cs="Times New Roman"/>
          <w:lang w:val="en-US" w:eastAsia="zh-CN"/>
        </w:rPr>
        <w:t>图3-10</w:t>
      </w:r>
      <w:r>
        <w:rPr>
          <w:rFonts w:hint="eastAsia"/>
        </w:rPr>
        <w:t>所示</w:t>
      </w:r>
      <w:r>
        <w:t>。实验环境为温度320</w:t>
      </w:r>
      <w:r>
        <w:rPr>
          <w:rFonts w:hint="eastAsia" w:ascii="宋体" w:hAnsi="宋体" w:cs="宋体"/>
        </w:rPr>
        <w:t>℃</w:t>
      </w:r>
      <w:r>
        <w:t>，压力13 MPa，溶解氧200 ppb的高温高压水环境。应变拉伸速率为3*10</w:t>
      </w:r>
      <w:r>
        <w:rPr>
          <w:vertAlign w:val="superscript"/>
        </w:rPr>
        <w:t>-7</w:t>
      </w:r>
      <w:r>
        <w:t xml:space="preserve"> s</w:t>
      </w:r>
      <w:r>
        <w:rPr>
          <w:vertAlign w:val="superscript"/>
        </w:rPr>
        <w:t>-</w:t>
      </w:r>
      <w:r>
        <w:rPr>
          <w:rFonts w:hint="eastAsia"/>
          <w:vertAlign w:val="superscript"/>
          <w:lang w:val="en-US" w:eastAsia="zh-CN"/>
        </w:rPr>
        <w:t>1</w:t>
      </w:r>
      <w:r>
        <w:t>。实验后采用</w:t>
      </w:r>
      <w:r>
        <w:rPr>
          <w:rFonts w:hint="eastAsia"/>
          <w:lang w:val="en-US" w:eastAsia="zh-CN"/>
        </w:rPr>
        <w:t>扫描电子显微镜</w:t>
      </w:r>
      <w:r>
        <w:t>观察并统计裂纹萌生情况，判断SCC敏感性。</w:t>
      </w:r>
    </w:p>
    <w:p>
      <w:pPr>
        <w:adjustRightInd w:val="0"/>
        <w:snapToGrid w:val="0"/>
        <w:spacing w:line="240" w:lineRule="auto"/>
        <w:ind w:firstLine="0" w:firstLineChars="0"/>
        <w:jc w:val="center"/>
      </w:pPr>
      <w:r>
        <w:drawing>
          <wp:inline distT="0" distB="0" distL="114300" distR="114300">
            <wp:extent cx="3009900" cy="434340"/>
            <wp:effectExtent l="0" t="0" r="0" b="1016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19"/>
                    <a:srcRect l="21622" t="38901" r="5161" b="39087"/>
                    <a:stretch>
                      <a:fillRect/>
                    </a:stretch>
                  </pic:blipFill>
                  <pic:spPr>
                    <a:xfrm>
                      <a:off x="0" y="0"/>
                      <a:ext cx="3009900" cy="434340"/>
                    </a:xfrm>
                    <a:prstGeom prst="rect">
                      <a:avLst/>
                    </a:prstGeom>
                    <a:noFill/>
                    <a:ln>
                      <a:noFill/>
                    </a:ln>
                  </pic:spPr>
                </pic:pic>
              </a:graphicData>
            </a:graphic>
          </wp:inline>
        </w:drawing>
      </w:r>
    </w:p>
    <w:p>
      <w:pPr>
        <w:spacing w:line="276" w:lineRule="auto"/>
        <w:jc w:val="center"/>
        <w:rPr>
          <w:rFonts w:hint="eastAsia" w:ascii="宋体" w:hAnsi="宋体" w:eastAsia="宋体"/>
          <w:lang w:val="en-US" w:eastAsia="zh-CN"/>
        </w:rPr>
      </w:pPr>
      <w:bookmarkStart w:id="2" w:name="_Ref2962"/>
      <w:r>
        <w:rPr>
          <w:rFonts w:hint="default" w:ascii="宋体" w:hAnsi="宋体" w:eastAsia="宋体"/>
          <w:lang w:val="en-US" w:eastAsia="zh-CN"/>
        </w:rPr>
        <w:t>图</w:t>
      </w:r>
      <w:bookmarkEnd w:id="2"/>
      <w:r>
        <w:rPr>
          <w:rFonts w:hint="eastAsia" w:ascii="宋体" w:hAnsi="宋体" w:eastAsia="宋体"/>
          <w:lang w:val="en-US" w:eastAsia="zh-CN"/>
        </w:rPr>
        <w:t>3-10 应力腐蚀开裂样品结构示意图</w:t>
      </w:r>
    </w:p>
    <w:p>
      <w:pPr>
        <w:adjustRightInd w:val="0"/>
        <w:snapToGrid w:val="0"/>
        <w:spacing w:line="440" w:lineRule="exact"/>
        <w:ind w:firstLine="480" w:firstLineChars="200"/>
      </w:pPr>
      <w:r>
        <w:t>从</w:t>
      </w:r>
      <w:r>
        <w:rPr>
          <w:rFonts w:hint="eastAsia"/>
          <w:lang w:val="en-US" w:eastAsia="zh-CN"/>
        </w:rPr>
        <w:t>图</w:t>
      </w:r>
      <w:r>
        <w:rPr>
          <w:rFonts w:hint="eastAsia" w:ascii="Times New Roman" w:hAnsi="Times New Roman" w:eastAsia="宋体" w:cs="Times New Roman"/>
          <w:lang w:val="en-US" w:eastAsia="zh-CN"/>
        </w:rPr>
        <w:t>3-11</w:t>
      </w:r>
      <w:r>
        <w:t>慢应变速率拉伸样品表面裂纹形貌观察结果可以看出，应变</w:t>
      </w:r>
      <w:r>
        <w:rPr>
          <w:rFonts w:hint="eastAsia"/>
          <w:lang w:val="en-US" w:eastAsia="zh-CN"/>
        </w:rPr>
        <w:t>为</w:t>
      </w:r>
      <w:r>
        <w:t>5%</w:t>
      </w:r>
      <w:r>
        <w:rPr>
          <w:rFonts w:hint="eastAsia"/>
          <w:lang w:val="en-US" w:eastAsia="zh-CN"/>
        </w:rPr>
        <w:t>时</w:t>
      </w:r>
      <w:r>
        <w:t>，未处理样表面</w:t>
      </w:r>
      <w:r>
        <w:rPr>
          <w:rFonts w:hint="eastAsia"/>
          <w:lang w:val="en-US" w:eastAsia="zh-CN"/>
        </w:rPr>
        <w:t>产生大量应力腐蚀</w:t>
      </w:r>
      <w:r>
        <w:t>裂纹，而</w:t>
      </w:r>
      <w:r>
        <w:rPr>
          <w:rFonts w:hint="eastAsia"/>
          <w:lang w:val="en-US" w:eastAsia="zh-CN"/>
        </w:rPr>
        <w:t>空化水射流冲击表面强化</w:t>
      </w:r>
      <w:r>
        <w:t>后，</w:t>
      </w:r>
      <w:r>
        <w:rPr>
          <w:rFonts w:hint="eastAsia"/>
          <w:lang w:val="en-US" w:eastAsia="zh-CN"/>
        </w:rPr>
        <w:t>基本未发现应力腐蚀</w:t>
      </w:r>
      <w:r>
        <w:t>开裂</w:t>
      </w:r>
      <w:r>
        <w:rPr>
          <w:rFonts w:hint="eastAsia"/>
          <w:lang w:val="en-US" w:eastAsia="zh-CN"/>
        </w:rPr>
        <w:t>现象，</w:t>
      </w:r>
      <w:r>
        <w:rPr>
          <w:rFonts w:ascii="Times New Roman" w:hAnsi="Times New Roman" w:eastAsia="宋体" w:cs="Times New Roman"/>
        </w:rPr>
        <w:t>如</w:t>
      </w:r>
      <w:r>
        <w:rPr>
          <w:rFonts w:hint="eastAsia" w:ascii="Times New Roman" w:hAnsi="Times New Roman" w:eastAsia="宋体" w:cs="Times New Roman"/>
          <w:lang w:val="en-US" w:eastAsia="zh-CN"/>
        </w:rPr>
        <w:t>图3-11</w:t>
      </w:r>
      <w:r>
        <w:rPr>
          <w:rFonts w:ascii="Times New Roman" w:hAnsi="Times New Roman" w:eastAsia="宋体" w:cs="Times New Roman"/>
        </w:rPr>
        <w:t>所示</w:t>
      </w:r>
      <w:r>
        <w:t>。由此可见，空化水射流强化处理有效提高了材料的抗</w:t>
      </w:r>
      <w:r>
        <w:rPr>
          <w:rFonts w:hint="eastAsia"/>
          <w:lang w:val="en-US" w:eastAsia="zh-CN"/>
        </w:rPr>
        <w:t>应力腐蚀开裂</w:t>
      </w:r>
      <w:r>
        <w:t>性能。</w:t>
      </w:r>
    </w:p>
    <w:p>
      <w:pPr>
        <w:adjustRightInd w:val="0"/>
        <w:snapToGrid w:val="0"/>
        <w:spacing w:line="240" w:lineRule="auto"/>
        <w:ind w:firstLine="480" w:firstLineChars="200"/>
        <w:jc w:val="center"/>
      </w:pPr>
      <w:r>
        <w:drawing>
          <wp:inline distT="0" distB="0" distL="114300" distR="114300">
            <wp:extent cx="1958340" cy="1517650"/>
            <wp:effectExtent l="0" t="0" r="10160" b="635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20">
                      <a:lum bright="12000"/>
                    </a:blip>
                    <a:srcRect t="13303" r="24413"/>
                    <a:stretch>
                      <a:fillRect/>
                    </a:stretch>
                  </pic:blipFill>
                  <pic:spPr>
                    <a:xfrm>
                      <a:off x="0" y="0"/>
                      <a:ext cx="1958340" cy="1517650"/>
                    </a:xfrm>
                    <a:prstGeom prst="rect">
                      <a:avLst/>
                    </a:prstGeom>
                    <a:noFill/>
                    <a:ln>
                      <a:noFill/>
                    </a:ln>
                  </pic:spPr>
                </pic:pic>
              </a:graphicData>
            </a:graphic>
          </wp:inline>
        </w:drawing>
      </w:r>
      <w:r>
        <w:drawing>
          <wp:inline distT="0" distB="0" distL="114300" distR="114300">
            <wp:extent cx="1994535" cy="1518285"/>
            <wp:effectExtent l="0" t="0" r="12065" b="5715"/>
            <wp:docPr id="3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5"/>
                    <pic:cNvPicPr>
                      <a:picLocks noChangeAspect="1"/>
                    </pic:cNvPicPr>
                  </pic:nvPicPr>
                  <pic:blipFill>
                    <a:blip r:embed="rId21">
                      <a:lum bright="21997"/>
                    </a:blip>
                    <a:srcRect t="16325" r="25095"/>
                    <a:stretch>
                      <a:fillRect/>
                    </a:stretch>
                  </pic:blipFill>
                  <pic:spPr>
                    <a:xfrm>
                      <a:off x="0" y="0"/>
                      <a:ext cx="1994535" cy="1518285"/>
                    </a:xfrm>
                    <a:prstGeom prst="rect">
                      <a:avLst/>
                    </a:prstGeom>
                    <a:noFill/>
                    <a:ln>
                      <a:noFill/>
                    </a:ln>
                  </pic:spPr>
                </pic:pic>
              </a:graphicData>
            </a:graphic>
          </wp:inline>
        </w:drawing>
      </w:r>
    </w:p>
    <w:p>
      <w:pPr>
        <w:spacing w:line="276" w:lineRule="auto"/>
        <w:jc w:val="center"/>
        <w:rPr>
          <w:rFonts w:hint="eastAsia" w:ascii="宋体" w:hAnsi="宋体" w:eastAsia="宋体"/>
          <w:lang w:val="en-US" w:eastAsia="zh-CN"/>
        </w:rPr>
      </w:pPr>
      <w:r>
        <w:rPr>
          <w:rFonts w:hint="eastAsia" w:ascii="宋体" w:hAnsi="宋体" w:eastAsia="宋体"/>
          <w:lang w:val="en-US" w:eastAsia="zh-CN"/>
        </w:rPr>
        <w:t>（a）                    （b）</w:t>
      </w:r>
    </w:p>
    <w:p>
      <w:pPr>
        <w:spacing w:line="276" w:lineRule="auto"/>
        <w:jc w:val="center"/>
        <w:rPr>
          <w:rFonts w:hint="eastAsia" w:ascii="宋体" w:hAnsi="宋体" w:eastAsia="宋体"/>
          <w:lang w:val="en-US" w:eastAsia="zh-CN"/>
        </w:rPr>
      </w:pPr>
      <w:bookmarkStart w:id="3" w:name="_Ref2789"/>
      <w:r>
        <w:rPr>
          <w:rFonts w:hint="default" w:ascii="宋体" w:hAnsi="宋体" w:eastAsia="宋体"/>
          <w:lang w:val="en-US" w:eastAsia="zh-CN"/>
        </w:rPr>
        <w:t>图</w:t>
      </w:r>
      <w:bookmarkEnd w:id="3"/>
      <w:r>
        <w:rPr>
          <w:rFonts w:hint="eastAsia" w:ascii="宋体" w:hAnsi="宋体" w:eastAsia="宋体"/>
          <w:lang w:val="en-US" w:eastAsia="zh-CN"/>
        </w:rPr>
        <w:t>3-11 经过5%应变样品表面开裂形貌观察，（a）未处理样品；（b）处理样品</w:t>
      </w:r>
    </w:p>
    <w:p>
      <w:pPr>
        <w:outlineLvl w:val="0"/>
        <w:rPr>
          <w:b/>
          <w:sz w:val="28"/>
          <w:szCs w:val="28"/>
        </w:rPr>
      </w:pPr>
      <w:r>
        <w:rPr>
          <w:rFonts w:hint="eastAsia"/>
          <w:b/>
          <w:sz w:val="28"/>
          <w:szCs w:val="28"/>
        </w:rPr>
        <w:t>四、标准中涉及专利的情况</w:t>
      </w:r>
    </w:p>
    <w:p>
      <w:pPr>
        <w:ind w:firstLine="480" w:firstLineChars="200"/>
      </w:pPr>
      <w:r>
        <w:rPr>
          <w:rFonts w:hint="eastAsia"/>
        </w:rPr>
        <w:t>本标准不涉及专利。</w:t>
      </w:r>
    </w:p>
    <w:p>
      <w:pPr>
        <w:outlineLvl w:val="0"/>
        <w:rPr>
          <w:b/>
          <w:sz w:val="28"/>
          <w:szCs w:val="28"/>
        </w:rPr>
      </w:pPr>
      <w:r>
        <w:rPr>
          <w:rFonts w:hint="eastAsia"/>
          <w:b/>
          <w:sz w:val="28"/>
          <w:szCs w:val="28"/>
        </w:rPr>
        <w:t>五、预期达到的社会效益、对产业发展的作用等情况</w:t>
      </w:r>
    </w:p>
    <w:p>
      <w:pPr>
        <w:ind w:firstLine="480" w:firstLineChars="200"/>
      </w:pPr>
      <w:r>
        <w:rPr>
          <w:rFonts w:hint="eastAsia"/>
        </w:rPr>
        <w:t>通过本标准的制定,可以规范水射流处理技术在核电厂重要部件中的应用方法,促进国内相关核电运营公司、核电技术服务公司以及科研机构间对核电厂重要部件表面水射流去污清洗、除锈以及空化水射流冲击表面强化处理的规范性、通用性、一致性以及可靠性。本标准中水射流去污清洗</w:t>
      </w:r>
      <w:r>
        <w:rPr>
          <w:rFonts w:hint="eastAsia"/>
          <w:lang w:eastAsia="zh-CN"/>
        </w:rPr>
        <w:t>、</w:t>
      </w:r>
      <w:r>
        <w:rPr>
          <w:rFonts w:hint="eastAsia"/>
        </w:rPr>
        <w:t>除锈</w:t>
      </w:r>
      <w:r>
        <w:rPr>
          <w:rFonts w:hint="eastAsia"/>
          <w:lang w:val="en-US" w:eastAsia="zh-CN"/>
        </w:rPr>
        <w:t>及强化</w:t>
      </w:r>
      <w:r>
        <w:rPr>
          <w:rFonts w:hint="eastAsia"/>
        </w:rPr>
        <w:t>处理的实施应用，可以有效去除表面附着物，改善核电厂重要部件表</w:t>
      </w:r>
      <w:bookmarkStart w:id="4" w:name="_GoBack"/>
      <w:bookmarkEnd w:id="4"/>
      <w:r>
        <w:rPr>
          <w:rFonts w:hint="eastAsia"/>
        </w:rPr>
        <w:t>面清洁状态，提高核电厂运行效率，同时延长核电设备部件服役寿命，保障核电安全运行。</w:t>
      </w:r>
    </w:p>
    <w:p>
      <w:pPr>
        <w:outlineLvl w:val="0"/>
        <w:rPr>
          <w:b/>
          <w:sz w:val="28"/>
          <w:szCs w:val="28"/>
        </w:rPr>
      </w:pPr>
      <w:r>
        <w:rPr>
          <w:rFonts w:hint="eastAsia"/>
          <w:b/>
          <w:sz w:val="28"/>
          <w:szCs w:val="28"/>
        </w:rPr>
        <w:t>六、与国际、国外对比情况</w:t>
      </w:r>
    </w:p>
    <w:p>
      <w:pPr>
        <w:ind w:firstLine="480" w:firstLineChars="200"/>
      </w:pPr>
      <w:r>
        <w:rPr>
          <w:rFonts w:hint="eastAsia"/>
        </w:rPr>
        <w:t>本标准开发过程中借鉴了如下标准：</w:t>
      </w:r>
    </w:p>
    <w:p>
      <w:pPr>
        <w:ind w:firstLine="480" w:firstLineChars="200"/>
        <w:rPr>
          <w:rFonts w:hint="eastAsia"/>
        </w:rPr>
      </w:pPr>
      <w:r>
        <w:rPr>
          <w:rFonts w:hint="eastAsia"/>
        </w:rPr>
        <w:t>1）GB 26148 高压水射流清洗作业安全规范</w:t>
      </w:r>
    </w:p>
    <w:p>
      <w:pPr>
        <w:ind w:firstLine="480" w:firstLineChars="200"/>
        <w:rPr>
          <w:rFonts w:ascii="Times New Roman"/>
          <w:sz w:val="24"/>
          <w:szCs w:val="24"/>
        </w:rPr>
      </w:pPr>
      <w:r>
        <w:rPr>
          <w:rFonts w:hint="eastAsia"/>
        </w:rPr>
        <w:t>2）JB/T 8093 高压水射流设备</w:t>
      </w:r>
    </w:p>
    <w:p>
      <w:pPr>
        <w:outlineLvl w:val="0"/>
        <w:rPr>
          <w:b/>
          <w:sz w:val="28"/>
          <w:szCs w:val="28"/>
        </w:rPr>
      </w:pPr>
      <w:r>
        <w:rPr>
          <w:rFonts w:hint="eastAsia"/>
          <w:b/>
          <w:sz w:val="28"/>
          <w:szCs w:val="28"/>
        </w:rPr>
        <w:t>七、在标准体系中的位置，与现行相关法律、法规、规章及标准，特别是强制性标准的协调性</w:t>
      </w:r>
    </w:p>
    <w:p>
      <w:pPr>
        <w:ind w:firstLine="480" w:firstLineChars="200"/>
        <w:rPr>
          <w:i/>
        </w:rPr>
      </w:pPr>
      <w:r>
        <w:rPr>
          <w:rFonts w:hint="eastAsia"/>
        </w:rPr>
        <w:t>本标准与现行相关法律、法规、规章及相关标准协调一致。</w:t>
      </w:r>
    </w:p>
    <w:p>
      <w:pPr>
        <w:outlineLvl w:val="0"/>
        <w:rPr>
          <w:b/>
          <w:sz w:val="28"/>
          <w:szCs w:val="28"/>
        </w:rPr>
      </w:pPr>
      <w:r>
        <w:rPr>
          <w:rFonts w:hint="eastAsia"/>
          <w:b/>
          <w:sz w:val="28"/>
          <w:szCs w:val="28"/>
        </w:rPr>
        <w:t>八、重大分歧意见的处理经过和依据</w:t>
      </w:r>
    </w:p>
    <w:p>
      <w:pPr>
        <w:ind w:firstLine="480" w:firstLineChars="200"/>
      </w:pPr>
      <w:r>
        <w:rPr>
          <w:rFonts w:hint="eastAsia"/>
        </w:rPr>
        <w:t>无。</w:t>
      </w:r>
    </w:p>
    <w:p>
      <w:pPr>
        <w:outlineLvl w:val="0"/>
        <w:rPr>
          <w:b/>
          <w:sz w:val="28"/>
          <w:szCs w:val="28"/>
        </w:rPr>
      </w:pPr>
      <w:r>
        <w:rPr>
          <w:rFonts w:hint="eastAsia"/>
          <w:b/>
          <w:sz w:val="28"/>
          <w:szCs w:val="28"/>
        </w:rPr>
        <w:t>九、标准性质的建议说明</w:t>
      </w:r>
    </w:p>
    <w:p>
      <w:pPr>
        <w:ind w:firstLine="480" w:firstLineChars="200"/>
        <w:rPr>
          <w:i/>
        </w:rPr>
      </w:pPr>
      <w:r>
        <w:rPr>
          <w:rFonts w:hint="eastAsia"/>
        </w:rPr>
        <w:t>建议本标准的性质为团体标准。</w:t>
      </w:r>
    </w:p>
    <w:p>
      <w:pPr>
        <w:outlineLvl w:val="0"/>
        <w:rPr>
          <w:b/>
          <w:sz w:val="28"/>
          <w:szCs w:val="28"/>
        </w:rPr>
      </w:pPr>
      <w:r>
        <w:rPr>
          <w:rFonts w:hint="eastAsia"/>
          <w:b/>
          <w:sz w:val="28"/>
          <w:szCs w:val="28"/>
        </w:rPr>
        <w:t>十、贯彻标准的要求和措施建议</w:t>
      </w:r>
    </w:p>
    <w:p>
      <w:pPr>
        <w:ind w:firstLine="480" w:firstLineChars="200"/>
      </w:pPr>
      <w:r>
        <w:rPr>
          <w:rFonts w:hint="eastAsia"/>
        </w:rPr>
        <w:t>标准发布后，苏州热工研究院有限公司将配合中国核能行业协会组织行业召开标准宣贯会，开展培训活动，促进该标准更好的贯彻实施。</w:t>
      </w:r>
    </w:p>
    <w:p>
      <w:pPr>
        <w:rPr>
          <w:i/>
        </w:rPr>
      </w:pPr>
    </w:p>
    <w:p>
      <w:pPr>
        <w:outlineLvl w:val="0"/>
        <w:rPr>
          <w:b/>
          <w:sz w:val="28"/>
          <w:szCs w:val="28"/>
        </w:rPr>
      </w:pPr>
      <w:r>
        <w:rPr>
          <w:rFonts w:hint="eastAsia"/>
          <w:b/>
          <w:sz w:val="28"/>
          <w:szCs w:val="28"/>
        </w:rPr>
        <w:t>十一、废止现行相关标准的建议</w:t>
      </w:r>
    </w:p>
    <w:p>
      <w:pPr>
        <w:ind w:firstLine="480" w:firstLineChars="200"/>
      </w:pPr>
      <w:r>
        <w:rPr>
          <w:rFonts w:hint="eastAsia"/>
        </w:rPr>
        <w:t>无。</w:t>
      </w:r>
    </w:p>
    <w:p>
      <w:pPr>
        <w:outlineLvl w:val="0"/>
        <w:rPr>
          <w:b/>
          <w:sz w:val="28"/>
          <w:szCs w:val="28"/>
        </w:rPr>
      </w:pPr>
      <w:r>
        <w:rPr>
          <w:rFonts w:hint="eastAsia"/>
          <w:b/>
          <w:sz w:val="28"/>
          <w:szCs w:val="28"/>
        </w:rPr>
        <w:t>十二、其他应予说明的事项</w:t>
      </w:r>
    </w:p>
    <w:p>
      <w:pPr>
        <w:ind w:firstLine="480" w:firstLineChars="200"/>
      </w:pPr>
      <w:r>
        <w:rPr>
          <w:rFonts w:hint="eastAsia"/>
        </w:rPr>
        <w:t>无。</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699C"/>
    <w:rsid w:val="0004736B"/>
    <w:rsid w:val="000801E7"/>
    <w:rsid w:val="000C204E"/>
    <w:rsid w:val="00132C00"/>
    <w:rsid w:val="00161CD2"/>
    <w:rsid w:val="0024244C"/>
    <w:rsid w:val="00285F39"/>
    <w:rsid w:val="002E1F35"/>
    <w:rsid w:val="004656F6"/>
    <w:rsid w:val="00520FE0"/>
    <w:rsid w:val="005E3CC9"/>
    <w:rsid w:val="006633BA"/>
    <w:rsid w:val="006A6B56"/>
    <w:rsid w:val="006E0F94"/>
    <w:rsid w:val="0070047E"/>
    <w:rsid w:val="00764E9E"/>
    <w:rsid w:val="008F0708"/>
    <w:rsid w:val="00A33BF8"/>
    <w:rsid w:val="00A56356"/>
    <w:rsid w:val="00A740E0"/>
    <w:rsid w:val="00AB5F92"/>
    <w:rsid w:val="00AC1E52"/>
    <w:rsid w:val="00AE1F12"/>
    <w:rsid w:val="00B24A56"/>
    <w:rsid w:val="00C478E3"/>
    <w:rsid w:val="00CB603C"/>
    <w:rsid w:val="00DC29B1"/>
    <w:rsid w:val="00E0783F"/>
    <w:rsid w:val="00F60B7D"/>
    <w:rsid w:val="00FB6407"/>
    <w:rsid w:val="04526E09"/>
    <w:rsid w:val="04B03CAF"/>
    <w:rsid w:val="04C12541"/>
    <w:rsid w:val="05EF46F9"/>
    <w:rsid w:val="09DC1E30"/>
    <w:rsid w:val="119B4023"/>
    <w:rsid w:val="14C33DC7"/>
    <w:rsid w:val="152D1EAC"/>
    <w:rsid w:val="156B5ADB"/>
    <w:rsid w:val="16140C24"/>
    <w:rsid w:val="19183CEC"/>
    <w:rsid w:val="1A2E6024"/>
    <w:rsid w:val="1C570444"/>
    <w:rsid w:val="1DD95D4E"/>
    <w:rsid w:val="22B356C4"/>
    <w:rsid w:val="23A12521"/>
    <w:rsid w:val="28023723"/>
    <w:rsid w:val="2B241007"/>
    <w:rsid w:val="2D91772D"/>
    <w:rsid w:val="2ED30B52"/>
    <w:rsid w:val="2F1849E3"/>
    <w:rsid w:val="300D23F3"/>
    <w:rsid w:val="30405351"/>
    <w:rsid w:val="37E16E15"/>
    <w:rsid w:val="3837216B"/>
    <w:rsid w:val="3A015025"/>
    <w:rsid w:val="3E1B7A2D"/>
    <w:rsid w:val="41466651"/>
    <w:rsid w:val="43AC5C88"/>
    <w:rsid w:val="44103E4A"/>
    <w:rsid w:val="490D04B0"/>
    <w:rsid w:val="49B55AB8"/>
    <w:rsid w:val="4A2F49BF"/>
    <w:rsid w:val="535F5E6F"/>
    <w:rsid w:val="55EE675B"/>
    <w:rsid w:val="58F852A6"/>
    <w:rsid w:val="594C67FF"/>
    <w:rsid w:val="61495130"/>
    <w:rsid w:val="64536BAC"/>
    <w:rsid w:val="66E00B89"/>
    <w:rsid w:val="6E3457CA"/>
    <w:rsid w:val="6F80098F"/>
    <w:rsid w:val="75004F6B"/>
    <w:rsid w:val="76AE4C3F"/>
    <w:rsid w:val="784235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pPr>
    <w:rPr>
      <w:rFonts w:ascii="宋体" w:hAnsi="宋体" w:eastAsia="宋体" w:cstheme="minorBidi"/>
      <w:kern w:val="2"/>
      <w:sz w:val="24"/>
      <w:szCs w:val="24"/>
      <w:lang w:val="en-US" w:eastAsia="zh-CN" w:bidi="ar-SA"/>
    </w:rPr>
  </w:style>
  <w:style w:type="paragraph" w:styleId="3">
    <w:name w:val="heading 1"/>
    <w:basedOn w:val="1"/>
    <w:next w:val="1"/>
    <w:qFormat/>
    <w:uiPriority w:val="0"/>
    <w:pPr>
      <w:keepNext/>
      <w:keepLines/>
      <w:widowControl w:val="0"/>
      <w:spacing w:line="576" w:lineRule="auto"/>
      <w:jc w:val="both"/>
      <w:outlineLvl w:val="0"/>
    </w:pPr>
    <w:rPr>
      <w:rFonts w:ascii="Times New Roman" w:hAnsi="Times New Roman" w:cs="Times New Roman"/>
      <w:b/>
      <w:bCs/>
      <w:kern w:val="44"/>
      <w:sz w:val="28"/>
      <w:szCs w:val="44"/>
    </w:rPr>
  </w:style>
  <w:style w:type="character" w:default="1" w:styleId="6">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toc 1"/>
    <w:basedOn w:val="1"/>
    <w:next w:val="1"/>
    <w:qFormat/>
    <w:uiPriority w:val="39"/>
    <w:pPr>
      <w:widowControl w:val="0"/>
      <w:tabs>
        <w:tab w:val="left" w:pos="240"/>
        <w:tab w:val="right" w:leader="dot" w:pos="8921"/>
      </w:tabs>
      <w:spacing w:line="360" w:lineRule="auto"/>
    </w:pPr>
    <w:rPr>
      <w:rFonts w:ascii="Calibri" w:hAnsi="Calibri" w:cs="Calibri"/>
      <w:b/>
      <w:bCs/>
      <w:caps/>
      <w:kern w:val="2"/>
      <w:lang w:val="en-US" w:eastAsia="zh-CN" w:bidi="ar-SA"/>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7">
    <w:name w:val="List Paragraph"/>
    <w:basedOn w:val="1"/>
    <w:qFormat/>
    <w:uiPriority w:val="34"/>
    <w:pPr>
      <w:ind w:firstLine="420" w:firstLineChars="200"/>
    </w:pPr>
  </w:style>
  <w:style w:type="character" w:customStyle="1" w:styleId="8">
    <w:name w:val="patentcontentblock1"/>
    <w:basedOn w:val="6"/>
    <w:qFormat/>
    <w:uiPriority w:val="0"/>
    <w:rPr>
      <w:color w:val="000000"/>
      <w:sz w:val="20"/>
      <w:szCs w:val="20"/>
    </w:rPr>
  </w:style>
  <w:style w:type="paragraph" w:customStyle="1" w:styleId="9">
    <w:name w:val="段"/>
    <w:basedOn w:val="1"/>
    <w:link w:val="10"/>
    <w:qFormat/>
    <w:uiPriority w:val="0"/>
    <w:pPr>
      <w:tabs>
        <w:tab w:val="center" w:pos="4201"/>
        <w:tab w:val="right" w:leader="dot" w:pos="9298"/>
      </w:tabs>
      <w:autoSpaceDE w:val="0"/>
      <w:autoSpaceDN w:val="0"/>
      <w:ind w:firstLine="420" w:firstLineChars="200"/>
      <w:jc w:val="both"/>
    </w:pPr>
    <w:rPr>
      <w:rFonts w:hint="eastAsia" w:hAnsi="Times New Roman" w:cs="Times New Roman"/>
      <w:kern w:val="0"/>
      <w:sz w:val="21"/>
      <w:szCs w:val="20"/>
    </w:rPr>
  </w:style>
  <w:style w:type="character" w:customStyle="1" w:styleId="10">
    <w:name w:val="段 Char"/>
    <w:basedOn w:val="6"/>
    <w:link w:val="9"/>
    <w:qFormat/>
    <w:uiPriority w:val="0"/>
    <w:rPr>
      <w:rFonts w:ascii="宋体"/>
      <w:sz w:val="21"/>
    </w:rPr>
  </w:style>
  <w:style w:type="paragraph" w:customStyle="1" w:styleId="11">
    <w:name w:val="Default"/>
    <w:unhideWhenUsed/>
    <w:qFormat/>
    <w:uiPriority w:val="99"/>
    <w:pPr>
      <w:widowControl w:val="0"/>
      <w:autoSpaceDE w:val="0"/>
      <w:autoSpaceDN w:val="0"/>
      <w:adjustRightInd w:val="0"/>
      <w:spacing w:beforeLines="0" w:afterLines="0"/>
    </w:pPr>
    <w:rPr>
      <w:rFonts w:hint="default" w:ascii="宋体" w:hAnsi="宋体" w:eastAsia="宋体" w:cs="Times New Roman"/>
      <w:color w:val="00000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6.pn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emf"/><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856</Words>
  <Characters>4882</Characters>
  <Lines>40</Lines>
  <Paragraphs>11</Paragraphs>
  <TotalTime>3</TotalTime>
  <ScaleCrop>false</ScaleCrop>
  <LinksUpToDate>false</LinksUpToDate>
  <CharactersWithSpaces>5727</CharactersWithSpaces>
  <Application>WPS Office_11.8.2.10321_F1E327BC-269C-435d-A152-05C5408002CA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2019-12-04T02:22:00Z</dcterms:created>
  <dc:creator>王炫</dc:creator>
  <cp:lastModifiedBy>P198669</cp:lastModifiedBy>
  <dcterms:modified xsi:type="dcterms:W3CDTF">2022-11-04T08:10:34Z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2052-11.8.2.10321</vt:lpwstr>
  </property>
</Properties>
</file>